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AB3" w14:textId="77777777" w:rsidR="00E96978" w:rsidRPr="00D50D67" w:rsidRDefault="00E96978" w:rsidP="00D50D67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  <w:r w:rsidRPr="00D50D67">
        <w:rPr>
          <w:rFonts w:ascii="Times New Roman" w:hAnsi="Times New Roman"/>
          <w:b/>
          <w:bCs/>
          <w:color w:val="000000"/>
          <w:lang w:eastAsia="es-ES"/>
        </w:rPr>
        <w:t>FORMULARIOS DE DELEGACIÓN Y VOTO A DISTANCIA</w:t>
      </w:r>
    </w:p>
    <w:p w14:paraId="3B2850DA" w14:textId="77777777" w:rsidR="00E96978" w:rsidRPr="00D50D67" w:rsidRDefault="00E96978" w:rsidP="00D50D67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  <w:r w:rsidRPr="00D50D67">
        <w:rPr>
          <w:rFonts w:ascii="Times New Roman" w:hAnsi="Times New Roman"/>
          <w:b/>
          <w:bCs/>
          <w:color w:val="000000"/>
          <w:lang w:eastAsia="es-ES"/>
        </w:rPr>
        <w:t>JUNTA GENERAL DE ACCIONISTAS DE ECOLUMBER, S.A.</w:t>
      </w:r>
    </w:p>
    <w:p w14:paraId="14B27D5C" w14:textId="3ECD20D1" w:rsidR="00E96978" w:rsidRPr="00D50D67" w:rsidRDefault="004D4C91" w:rsidP="00D50D67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  <w:r>
        <w:rPr>
          <w:rFonts w:ascii="Times New Roman" w:hAnsi="Times New Roman"/>
          <w:b/>
          <w:bCs/>
          <w:color w:val="000000"/>
          <w:lang w:eastAsia="es-ES"/>
        </w:rPr>
        <w:t>30</w:t>
      </w:r>
      <w:r w:rsidR="00A9237B" w:rsidRPr="00D50D67">
        <w:rPr>
          <w:rFonts w:ascii="Times New Roman" w:hAnsi="Times New Roman"/>
          <w:b/>
          <w:bCs/>
          <w:color w:val="000000"/>
          <w:lang w:eastAsia="es-ES"/>
        </w:rPr>
        <w:t xml:space="preserve"> DE </w:t>
      </w:r>
      <w:r w:rsidR="00956457" w:rsidRPr="00D50D67">
        <w:rPr>
          <w:rFonts w:ascii="Times New Roman" w:hAnsi="Times New Roman"/>
          <w:b/>
          <w:bCs/>
          <w:color w:val="000000"/>
          <w:lang w:eastAsia="es-ES"/>
        </w:rPr>
        <w:t>JUNIO</w:t>
      </w:r>
      <w:r w:rsidR="00A9237B" w:rsidRPr="00D50D67">
        <w:rPr>
          <w:rFonts w:ascii="Times New Roman" w:hAnsi="Times New Roman"/>
          <w:b/>
          <w:bCs/>
          <w:color w:val="000000"/>
          <w:lang w:eastAsia="es-ES"/>
        </w:rPr>
        <w:t xml:space="preserve"> DE 20</w:t>
      </w:r>
      <w:r w:rsidR="00956457" w:rsidRPr="00D50D67">
        <w:rPr>
          <w:rFonts w:ascii="Times New Roman" w:hAnsi="Times New Roman"/>
          <w:b/>
          <w:bCs/>
          <w:color w:val="000000"/>
          <w:lang w:eastAsia="es-ES"/>
        </w:rPr>
        <w:t>2</w:t>
      </w:r>
      <w:r>
        <w:rPr>
          <w:rFonts w:ascii="Times New Roman" w:hAnsi="Times New Roman"/>
          <w:b/>
          <w:bCs/>
          <w:color w:val="000000"/>
          <w:lang w:eastAsia="es-ES"/>
        </w:rPr>
        <w:t>3</w:t>
      </w:r>
    </w:p>
    <w:p w14:paraId="1E7FF4D0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DDF807E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Código Cuenta Valores:</w:t>
      </w:r>
    </w:p>
    <w:p w14:paraId="72512CB3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F2CC172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Número de Acciones:</w:t>
      </w:r>
    </w:p>
    <w:p w14:paraId="6305F3F9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66D952F" w14:textId="77777777" w:rsidR="00E96978" w:rsidRPr="00D50D67" w:rsidRDefault="00E96978" w:rsidP="00D50D67">
      <w:pPr>
        <w:autoSpaceDE w:val="0"/>
        <w:autoSpaceDN w:val="0"/>
        <w:adjustRightInd w:val="0"/>
        <w:spacing w:after="24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Nombre del titular de las Acciones:</w:t>
      </w:r>
    </w:p>
    <w:p w14:paraId="65012455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7DBBF3F" w14:textId="77777777" w:rsidR="00E96978" w:rsidRPr="00D50D67" w:rsidRDefault="00E96978" w:rsidP="00D50D67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/>
          <w:b/>
          <w:bCs/>
          <w:color w:val="000000"/>
          <w:lang w:eastAsia="es-ES"/>
        </w:rPr>
      </w:pPr>
      <w:r w:rsidRPr="00D50D67">
        <w:rPr>
          <w:rFonts w:ascii="Times New Roman" w:hAnsi="Times New Roman"/>
          <w:b/>
          <w:bCs/>
          <w:color w:val="000000"/>
          <w:lang w:eastAsia="es-ES"/>
        </w:rPr>
        <w:t>REGLAS GENERALES</w:t>
      </w:r>
    </w:p>
    <w:p w14:paraId="4444C315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hAnsi="Times New Roman"/>
          <w:b/>
          <w:bCs/>
          <w:color w:val="000000"/>
          <w:lang w:eastAsia="es-ES"/>
        </w:rPr>
      </w:pPr>
    </w:p>
    <w:p w14:paraId="1CFCC563" w14:textId="1CD00C98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 xml:space="preserve">Esta tarjeta de asistencia, delegación y voto a distancia se emite </w:t>
      </w:r>
      <w:proofErr w:type="gramStart"/>
      <w:r w:rsidRPr="00D50D67">
        <w:rPr>
          <w:rFonts w:ascii="Times New Roman" w:hAnsi="Times New Roman"/>
          <w:color w:val="000000"/>
          <w:lang w:eastAsia="es-ES"/>
        </w:rPr>
        <w:t>en relación a</w:t>
      </w:r>
      <w:proofErr w:type="gramEnd"/>
      <w:r w:rsidRPr="00D50D67">
        <w:rPr>
          <w:rFonts w:ascii="Times New Roman" w:hAnsi="Times New Roman"/>
          <w:color w:val="000000"/>
          <w:lang w:eastAsia="es-ES"/>
        </w:rPr>
        <w:t xml:space="preserve"> la Junta General de Accionistas de ECOLUMBER, S.A. (la “</w:t>
      </w:r>
      <w:r w:rsidRPr="00D50D67">
        <w:rPr>
          <w:rFonts w:ascii="Times New Roman" w:hAnsi="Times New Roman"/>
          <w:b/>
          <w:color w:val="000000"/>
          <w:lang w:eastAsia="es-ES"/>
        </w:rPr>
        <w:t>Sociedad</w:t>
      </w:r>
      <w:r w:rsidRPr="00D50D67">
        <w:rPr>
          <w:rFonts w:ascii="Times New Roman" w:hAnsi="Times New Roman"/>
          <w:color w:val="000000"/>
          <w:lang w:eastAsia="es-ES"/>
        </w:rPr>
        <w:t xml:space="preserve">”) que se celebrará en </w:t>
      </w:r>
      <w:r w:rsidR="00140154">
        <w:rPr>
          <w:rFonts w:ascii="Times New Roman" w:hAnsi="Times New Roman"/>
          <w:color w:val="000000"/>
          <w:lang w:eastAsia="es-ES"/>
        </w:rPr>
        <w:t xml:space="preserve">Paseo de Gracia 85, planta sexta de </w:t>
      </w:r>
      <w:r w:rsidRPr="00D50D67">
        <w:rPr>
          <w:rFonts w:ascii="Times New Roman" w:hAnsi="Times New Roman"/>
          <w:color w:val="000000"/>
          <w:lang w:eastAsia="es-ES"/>
        </w:rPr>
        <w:t xml:space="preserve">Barcelona, </w:t>
      </w:r>
      <w:r w:rsidR="00566708" w:rsidRPr="00D50D67">
        <w:rPr>
          <w:rFonts w:ascii="Times New Roman" w:hAnsi="Times New Roman"/>
          <w:color w:val="000000"/>
          <w:lang w:eastAsia="es-ES"/>
        </w:rPr>
        <w:t xml:space="preserve">el día </w:t>
      </w:r>
      <w:r w:rsidR="004D4C91">
        <w:rPr>
          <w:rFonts w:ascii="Times New Roman" w:hAnsi="Times New Roman"/>
        </w:rPr>
        <w:t>30</w:t>
      </w:r>
      <w:r w:rsidR="00A9237B" w:rsidRPr="00D50D67">
        <w:rPr>
          <w:rFonts w:ascii="Times New Roman" w:hAnsi="Times New Roman"/>
          <w:lang w:eastAsia="es-ES"/>
        </w:rPr>
        <w:t xml:space="preserve"> de </w:t>
      </w:r>
      <w:r w:rsidR="00956457" w:rsidRPr="00D50D67">
        <w:rPr>
          <w:rFonts w:ascii="Times New Roman" w:hAnsi="Times New Roman"/>
          <w:lang w:eastAsia="es-ES"/>
        </w:rPr>
        <w:t>junio</w:t>
      </w:r>
      <w:r w:rsidR="00A9237B" w:rsidRPr="00D50D67">
        <w:rPr>
          <w:rFonts w:ascii="Times New Roman" w:hAnsi="Times New Roman"/>
          <w:lang w:eastAsia="es-ES"/>
        </w:rPr>
        <w:t xml:space="preserve"> de 20</w:t>
      </w:r>
      <w:r w:rsidR="00956457" w:rsidRPr="00D50D67">
        <w:rPr>
          <w:rFonts w:ascii="Times New Roman" w:hAnsi="Times New Roman"/>
          <w:lang w:eastAsia="es-ES"/>
        </w:rPr>
        <w:t>2</w:t>
      </w:r>
      <w:r w:rsidR="004D4C91">
        <w:rPr>
          <w:rFonts w:ascii="Times New Roman" w:hAnsi="Times New Roman"/>
          <w:lang w:eastAsia="es-ES"/>
        </w:rPr>
        <w:t>3</w:t>
      </w:r>
      <w:r w:rsidR="0012114A" w:rsidRPr="00D50D67">
        <w:rPr>
          <w:rFonts w:ascii="Times New Roman" w:hAnsi="Times New Roman"/>
          <w:lang w:eastAsia="es-ES"/>
        </w:rPr>
        <w:t xml:space="preserve">, a las </w:t>
      </w:r>
      <w:r w:rsidR="00EC05EE">
        <w:rPr>
          <w:rFonts w:ascii="Times New Roman" w:hAnsi="Times New Roman"/>
        </w:rPr>
        <w:t>12.00</w:t>
      </w:r>
      <w:r w:rsidR="0012114A" w:rsidRPr="00D50D67">
        <w:rPr>
          <w:rFonts w:ascii="Times New Roman" w:hAnsi="Times New Roman"/>
          <w:lang w:eastAsia="es-ES"/>
        </w:rPr>
        <w:t xml:space="preserve"> horas, </w:t>
      </w:r>
      <w:r w:rsidR="00566708" w:rsidRPr="00D50D67">
        <w:rPr>
          <w:rFonts w:ascii="Times New Roman" w:hAnsi="Times New Roman"/>
          <w:color w:val="000000"/>
          <w:lang w:eastAsia="es-ES"/>
        </w:rPr>
        <w:t xml:space="preserve">en primera convocatoria y el siguiente día </w:t>
      </w:r>
      <w:r w:rsidR="004D4C91">
        <w:rPr>
          <w:rFonts w:ascii="Times New Roman" w:hAnsi="Times New Roman"/>
        </w:rPr>
        <w:t>1</w:t>
      </w:r>
      <w:r w:rsidR="00A9237B" w:rsidRPr="00D50D67">
        <w:rPr>
          <w:rFonts w:ascii="Times New Roman" w:hAnsi="Times New Roman"/>
          <w:lang w:eastAsia="es-ES"/>
        </w:rPr>
        <w:t xml:space="preserve"> de </w:t>
      </w:r>
      <w:r w:rsidR="00956457" w:rsidRPr="00D50D67">
        <w:rPr>
          <w:rFonts w:ascii="Times New Roman" w:hAnsi="Times New Roman"/>
          <w:lang w:eastAsia="es-ES"/>
        </w:rPr>
        <w:t>ju</w:t>
      </w:r>
      <w:r w:rsidR="004D4C91">
        <w:rPr>
          <w:rFonts w:ascii="Times New Roman" w:hAnsi="Times New Roman"/>
          <w:lang w:eastAsia="es-ES"/>
        </w:rPr>
        <w:t>l</w:t>
      </w:r>
      <w:r w:rsidR="00956457" w:rsidRPr="00D50D67">
        <w:rPr>
          <w:rFonts w:ascii="Times New Roman" w:hAnsi="Times New Roman"/>
          <w:lang w:eastAsia="es-ES"/>
        </w:rPr>
        <w:t>io</w:t>
      </w:r>
      <w:r w:rsidR="00A9237B" w:rsidRPr="00D50D67">
        <w:rPr>
          <w:rFonts w:ascii="Times New Roman" w:hAnsi="Times New Roman"/>
          <w:lang w:eastAsia="es-ES"/>
        </w:rPr>
        <w:t xml:space="preserve"> de 20</w:t>
      </w:r>
      <w:r w:rsidR="00956457" w:rsidRPr="00D50D67">
        <w:rPr>
          <w:rFonts w:ascii="Times New Roman" w:hAnsi="Times New Roman"/>
          <w:lang w:eastAsia="es-ES"/>
        </w:rPr>
        <w:t>2</w:t>
      </w:r>
      <w:r w:rsidR="004D4C91">
        <w:rPr>
          <w:rFonts w:ascii="Times New Roman" w:hAnsi="Times New Roman"/>
          <w:lang w:eastAsia="es-ES"/>
        </w:rPr>
        <w:t>3</w:t>
      </w:r>
      <w:r w:rsidRPr="00D50D67">
        <w:rPr>
          <w:rFonts w:ascii="Times New Roman" w:hAnsi="Times New Roman"/>
          <w:color w:val="000000"/>
          <w:lang w:eastAsia="es-ES"/>
        </w:rPr>
        <w:t xml:space="preserve">, </w:t>
      </w:r>
      <w:r w:rsidR="00566708" w:rsidRPr="00D50D67">
        <w:rPr>
          <w:rFonts w:ascii="Times New Roman" w:hAnsi="Times New Roman"/>
          <w:color w:val="000000"/>
          <w:lang w:eastAsia="es-ES"/>
        </w:rPr>
        <w:t xml:space="preserve">a la misma hora y lugar, en segunda convocatoria, </w:t>
      </w:r>
      <w:r w:rsidRPr="00D50D67">
        <w:rPr>
          <w:rFonts w:ascii="Times New Roman" w:hAnsi="Times New Roman"/>
          <w:color w:val="000000"/>
          <w:lang w:eastAsia="es-ES"/>
        </w:rPr>
        <w:t>conforme al orden del día adjunto que figura también en el anuncio de convocatoria publicado debidamente.</w:t>
      </w:r>
    </w:p>
    <w:p w14:paraId="282D28C1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7813A05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Esta tarjeta habilita a su titular, alternativamente, para: a) asistir presencialmente a la Junta General de accionistas; b) ejercer su derecho de voto a distancia, o c) delegar su representación.</w:t>
      </w:r>
    </w:p>
    <w:p w14:paraId="639BBDB6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8C9DE89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proofErr w:type="gramStart"/>
      <w:r w:rsidRPr="00D50D67">
        <w:rPr>
          <w:rFonts w:ascii="Times New Roman" w:hAnsi="Times New Roman"/>
          <w:color w:val="000000"/>
          <w:lang w:eastAsia="es-ES"/>
        </w:rPr>
        <w:t>Serán de aplicación</w:t>
      </w:r>
      <w:proofErr w:type="gramEnd"/>
      <w:r w:rsidRPr="00D50D67">
        <w:rPr>
          <w:rFonts w:ascii="Times New Roman" w:hAnsi="Times New Roman"/>
          <w:color w:val="000000"/>
          <w:lang w:eastAsia="es-ES"/>
        </w:rPr>
        <w:t xml:space="preserve"> a las instrucciones contenidas en esta tarjeta las disposiciones contenidas en el anuncio de convocatoria.</w:t>
      </w:r>
    </w:p>
    <w:p w14:paraId="236B0B6F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CA256BF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Para su validez, tanto las delegaciones y votos emitidos mediante correspondencia postal, deberán recibirse por la Sociedad en el domicilio social no más tarde de las 10 horas del día inmediatamente anterior a la Junta, a excepción de las delegaciones enviadas al representante elegido.</w:t>
      </w:r>
    </w:p>
    <w:p w14:paraId="5AE6CAC8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2FE3BFC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b/>
          <w:color w:val="000000"/>
          <w:lang w:eastAsia="es-ES"/>
        </w:rPr>
        <w:t>En caso de asistir personalmente a la Junta General de Accionistas</w:t>
      </w:r>
      <w:r w:rsidRPr="00D50D67">
        <w:rPr>
          <w:rFonts w:ascii="Times New Roman" w:hAnsi="Times New Roman"/>
          <w:color w:val="000000"/>
          <w:lang w:eastAsia="es-ES"/>
        </w:rPr>
        <w:t>, debe entregar esta tarjeta el día de la celebración de la Junta.</w:t>
      </w:r>
    </w:p>
    <w:p w14:paraId="4E5030E0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56FE4A7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b/>
          <w:color w:val="000000"/>
          <w:lang w:eastAsia="es-ES"/>
        </w:rPr>
        <w:t>En caso de no asistir personalmente a la Junta</w:t>
      </w:r>
      <w:r w:rsidRPr="00D50D67">
        <w:rPr>
          <w:rFonts w:ascii="Times New Roman" w:hAnsi="Times New Roman"/>
          <w:color w:val="000000"/>
          <w:lang w:eastAsia="es-ES"/>
        </w:rPr>
        <w:t xml:space="preserve"> debe rellenar solamente uno de los apartados siguientes: voto a distancia o delegación.</w:t>
      </w:r>
    </w:p>
    <w:p w14:paraId="60A3CE5B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7306449" w14:textId="54FCB9C2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b/>
          <w:color w:val="000000"/>
          <w:lang w:eastAsia="es-ES"/>
        </w:rPr>
        <w:t>En el caso de que el accionista titular de esta tarjeta desee ejercer su derecho de voto a distancia</w:t>
      </w:r>
      <w:r w:rsidRPr="00D50D67">
        <w:rPr>
          <w:rFonts w:ascii="Times New Roman" w:hAnsi="Times New Roman"/>
          <w:color w:val="000000"/>
          <w:lang w:eastAsia="es-ES"/>
        </w:rPr>
        <w:t xml:space="preserve">, deberá remitirla debidamente cumplimentada a ECOLUMBER, S.A., </w:t>
      </w:r>
      <w:r w:rsidR="00956457" w:rsidRPr="00D50D67">
        <w:rPr>
          <w:rFonts w:ascii="Times New Roman" w:hAnsi="Times New Roman"/>
          <w:lang w:eastAsia="es-ES"/>
        </w:rPr>
        <w:t xml:space="preserve">calle </w:t>
      </w:r>
      <w:proofErr w:type="spellStart"/>
      <w:r w:rsidR="00956457" w:rsidRPr="00D50D67">
        <w:rPr>
          <w:rFonts w:ascii="Times New Roman" w:hAnsi="Times New Roman"/>
          <w:lang w:eastAsia="es-ES"/>
        </w:rPr>
        <w:t>Bruc</w:t>
      </w:r>
      <w:proofErr w:type="spellEnd"/>
      <w:r w:rsidR="00956457" w:rsidRPr="00D50D67">
        <w:rPr>
          <w:rFonts w:ascii="Times New Roman" w:hAnsi="Times New Roman"/>
          <w:lang w:eastAsia="es-ES"/>
        </w:rPr>
        <w:t xml:space="preserve">, 144, principal primera, (08037), </w:t>
      </w:r>
      <w:r w:rsidR="00566708" w:rsidRPr="00D50D67">
        <w:rPr>
          <w:rFonts w:ascii="Times New Roman" w:hAnsi="Times New Roman"/>
          <w:color w:val="000000"/>
          <w:lang w:eastAsia="es-ES"/>
        </w:rPr>
        <w:t>de Barcelona</w:t>
      </w:r>
      <w:r w:rsidRPr="00D50D67">
        <w:rPr>
          <w:rFonts w:ascii="Times New Roman" w:hAnsi="Times New Roman"/>
          <w:color w:val="000000"/>
          <w:lang w:eastAsia="es-ES"/>
        </w:rPr>
        <w:t xml:space="preserve">, acompañando fotocopia del documento nacional de identidad o pasaporte. En caso de que el accionista sea persona jurídica además se acompañará </w:t>
      </w:r>
      <w:r w:rsidRPr="00D50D67">
        <w:rPr>
          <w:rFonts w:ascii="Times New Roman" w:hAnsi="Times New Roman"/>
          <w:color w:val="000000"/>
          <w:lang w:eastAsia="es-ES"/>
        </w:rPr>
        <w:lastRenderedPageBreak/>
        <w:t>fotocopia del poder suficiente en virtud del cual se acredite las facultades de la persona que haya emitido el voto.</w:t>
      </w:r>
    </w:p>
    <w:p w14:paraId="6683F539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F636817" w14:textId="5DA07208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b/>
          <w:color w:val="000000"/>
          <w:lang w:eastAsia="es-ES"/>
        </w:rPr>
        <w:t>En el supuesto de que el Accionista titular de esta tarjeta desee delegar su representación</w:t>
      </w:r>
      <w:r w:rsidRPr="00D50D67">
        <w:rPr>
          <w:rFonts w:ascii="Times New Roman" w:hAnsi="Times New Roman"/>
          <w:color w:val="000000"/>
          <w:lang w:eastAsia="es-ES"/>
        </w:rPr>
        <w:t xml:space="preserve"> podrá remitirla a ECOLUMBER, S.A., </w:t>
      </w:r>
      <w:r w:rsidR="00956457" w:rsidRPr="00D50D67">
        <w:rPr>
          <w:rFonts w:ascii="Times New Roman" w:hAnsi="Times New Roman"/>
          <w:lang w:eastAsia="es-ES"/>
        </w:rPr>
        <w:t xml:space="preserve">calle </w:t>
      </w:r>
      <w:proofErr w:type="spellStart"/>
      <w:r w:rsidR="00956457" w:rsidRPr="00D50D67">
        <w:rPr>
          <w:rFonts w:ascii="Times New Roman" w:hAnsi="Times New Roman"/>
          <w:lang w:eastAsia="es-ES"/>
        </w:rPr>
        <w:t>Bruc</w:t>
      </w:r>
      <w:proofErr w:type="spellEnd"/>
      <w:r w:rsidR="00956457" w:rsidRPr="00D50D67">
        <w:rPr>
          <w:rFonts w:ascii="Times New Roman" w:hAnsi="Times New Roman"/>
          <w:lang w:eastAsia="es-ES"/>
        </w:rPr>
        <w:t xml:space="preserve">, 144, principal primera, (08037), </w:t>
      </w:r>
      <w:r w:rsidR="00566708" w:rsidRPr="00D50D67">
        <w:rPr>
          <w:rFonts w:ascii="Times New Roman" w:hAnsi="Times New Roman"/>
          <w:color w:val="000000"/>
          <w:lang w:eastAsia="es-ES"/>
        </w:rPr>
        <w:t>de Barcelona</w:t>
      </w:r>
      <w:r w:rsidRPr="00D50D67">
        <w:rPr>
          <w:rFonts w:ascii="Times New Roman" w:hAnsi="Times New Roman"/>
          <w:color w:val="000000"/>
          <w:lang w:eastAsia="es-ES"/>
        </w:rPr>
        <w:t xml:space="preserve"> o al representante elegido quien deberá acudir con la tarjeta de asistencia y su documento nacional de identidad o pasaporte al lugar de celebración de la Junta.</w:t>
      </w:r>
    </w:p>
    <w:p w14:paraId="539D3922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1A5B414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CFA3E3A" w14:textId="77777777" w:rsidR="00E96978" w:rsidRPr="00D50D67" w:rsidRDefault="00146547" w:rsidP="00D50D6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*</w:t>
      </w:r>
      <w:r w:rsidRPr="00D50D67">
        <w:rPr>
          <w:rFonts w:ascii="Times New Roman" w:hAnsi="Times New Roman"/>
          <w:color w:val="000000"/>
          <w:lang w:eastAsia="es-ES"/>
        </w:rPr>
        <w:tab/>
        <w:t>*</w:t>
      </w:r>
      <w:r w:rsidRPr="00D50D67">
        <w:rPr>
          <w:rFonts w:ascii="Times New Roman" w:hAnsi="Times New Roman"/>
          <w:color w:val="000000"/>
          <w:lang w:eastAsia="es-ES"/>
        </w:rPr>
        <w:tab/>
        <w:t>*</w:t>
      </w:r>
      <w:r w:rsidR="00E96978" w:rsidRPr="00D50D67">
        <w:rPr>
          <w:rFonts w:ascii="Times New Roman" w:hAnsi="Times New Roman"/>
          <w:color w:val="000000"/>
          <w:lang w:eastAsia="es-ES"/>
        </w:rPr>
        <w:br w:type="page"/>
      </w:r>
    </w:p>
    <w:p w14:paraId="0732248B" w14:textId="77777777" w:rsidR="00E96978" w:rsidRPr="00D50D67" w:rsidRDefault="00E96978" w:rsidP="00D50D67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/>
          <w:b/>
          <w:bCs/>
          <w:color w:val="000000"/>
          <w:lang w:eastAsia="es-ES"/>
        </w:rPr>
      </w:pPr>
      <w:r w:rsidRPr="00D50D67">
        <w:rPr>
          <w:rFonts w:ascii="Times New Roman" w:hAnsi="Times New Roman"/>
          <w:b/>
          <w:bCs/>
          <w:color w:val="000000"/>
          <w:lang w:eastAsia="es-ES"/>
        </w:rPr>
        <w:lastRenderedPageBreak/>
        <w:t>VOTO A DISTANCIA</w:t>
      </w:r>
    </w:p>
    <w:p w14:paraId="29B0AA6F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hAnsi="Times New Roman"/>
          <w:b/>
          <w:bCs/>
          <w:color w:val="000000"/>
          <w:lang w:eastAsia="es-ES"/>
        </w:rPr>
      </w:pPr>
    </w:p>
    <w:p w14:paraId="7987382A" w14:textId="77777777" w:rsidR="00146547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El accionista titular de esta tarjeta ejercita su derecho de voto a favor de todas las propuestas de acuerdo formuladas por el Consejo de Administración en relación con los punto</w:t>
      </w:r>
      <w:r w:rsidR="00146547" w:rsidRPr="00D50D67">
        <w:rPr>
          <w:rFonts w:ascii="Times New Roman" w:hAnsi="Times New Roman"/>
          <w:color w:val="000000"/>
          <w:lang w:eastAsia="es-ES"/>
        </w:rPr>
        <w:t>s del O</w:t>
      </w:r>
      <w:r w:rsidRPr="00D50D67">
        <w:rPr>
          <w:rFonts w:ascii="Times New Roman" w:hAnsi="Times New Roman"/>
          <w:color w:val="000000"/>
          <w:lang w:eastAsia="es-ES"/>
        </w:rPr>
        <w:t xml:space="preserve">rden </w:t>
      </w:r>
      <w:r w:rsidR="00146547" w:rsidRPr="00D50D67">
        <w:rPr>
          <w:rFonts w:ascii="Times New Roman" w:hAnsi="Times New Roman"/>
          <w:color w:val="000000"/>
          <w:lang w:eastAsia="es-ES"/>
        </w:rPr>
        <w:t>del D</w:t>
      </w:r>
      <w:r w:rsidRPr="00D50D67">
        <w:rPr>
          <w:rFonts w:ascii="Times New Roman" w:hAnsi="Times New Roman"/>
          <w:color w:val="000000"/>
          <w:lang w:eastAsia="es-ES"/>
        </w:rPr>
        <w:t>ía adjunto publicado por la Sociedad, salvo que se indique un sentido del voto distinto a continuación (marque con una cruz las casillas correspondientes):</w:t>
      </w:r>
    </w:p>
    <w:p w14:paraId="5382AD46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1275"/>
        <w:gridCol w:w="1134"/>
      </w:tblGrid>
      <w:tr w:rsidR="00924908" w:rsidRPr="00D50D67" w14:paraId="04481454" w14:textId="77777777" w:rsidTr="00EC05EE">
        <w:tc>
          <w:tcPr>
            <w:tcW w:w="993" w:type="dxa"/>
            <w:shd w:val="clear" w:color="auto" w:fill="F2F2F2"/>
          </w:tcPr>
          <w:p w14:paraId="573E46BF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Orden del Día</w:t>
            </w:r>
          </w:p>
        </w:tc>
        <w:tc>
          <w:tcPr>
            <w:tcW w:w="2835" w:type="dxa"/>
            <w:shd w:val="clear" w:color="auto" w:fill="F2F2F2"/>
          </w:tcPr>
          <w:p w14:paraId="0B2CF1F2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Acuerdos</w:t>
            </w:r>
          </w:p>
        </w:tc>
        <w:tc>
          <w:tcPr>
            <w:tcW w:w="1134" w:type="dxa"/>
            <w:shd w:val="clear" w:color="auto" w:fill="F2F2F2"/>
          </w:tcPr>
          <w:p w14:paraId="564A7B3F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 Favor</w:t>
            </w:r>
          </w:p>
        </w:tc>
        <w:tc>
          <w:tcPr>
            <w:tcW w:w="1134" w:type="dxa"/>
            <w:shd w:val="clear" w:color="auto" w:fill="F2F2F2"/>
          </w:tcPr>
          <w:p w14:paraId="026711C8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En Contra</w:t>
            </w:r>
          </w:p>
        </w:tc>
        <w:tc>
          <w:tcPr>
            <w:tcW w:w="1275" w:type="dxa"/>
            <w:shd w:val="clear" w:color="auto" w:fill="F2F2F2"/>
          </w:tcPr>
          <w:p w14:paraId="4721DCBA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Abstención</w:t>
            </w:r>
          </w:p>
        </w:tc>
        <w:tc>
          <w:tcPr>
            <w:tcW w:w="1134" w:type="dxa"/>
            <w:shd w:val="clear" w:color="auto" w:fill="F2F2F2"/>
          </w:tcPr>
          <w:p w14:paraId="791DB8D1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En Blanco</w:t>
            </w:r>
          </w:p>
        </w:tc>
      </w:tr>
      <w:tr w:rsidR="00924908" w:rsidRPr="00D50D67" w14:paraId="7F8A407C" w14:textId="77777777" w:rsidTr="00EC05EE">
        <w:tc>
          <w:tcPr>
            <w:tcW w:w="993" w:type="dxa"/>
            <w:shd w:val="clear" w:color="auto" w:fill="auto"/>
          </w:tcPr>
          <w:p w14:paraId="5C408B4B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32C9F9A" w14:textId="0CD60D94" w:rsidR="00924908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las Cuentas Anuales e Informe de Gestión Individuales de la Sociedad, correspondientes al ejercicio cerrado el 31 de diciembre de 202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1F3AB3D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BFD2A44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0A4B23C9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FA88885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924908" w:rsidRPr="00D50D67" w14:paraId="26979481" w14:textId="77777777" w:rsidTr="00EC05EE">
        <w:tc>
          <w:tcPr>
            <w:tcW w:w="993" w:type="dxa"/>
            <w:shd w:val="clear" w:color="auto" w:fill="auto"/>
          </w:tcPr>
          <w:p w14:paraId="75D8E415" w14:textId="60A1C061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CB2F065" w14:textId="75C50C2E" w:rsidR="00924908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las Cuentas Anuales e Informe de Gestión Consolidados de la Sociedad, correspondientes al ejercicio cerrado el 31 de diciembre de 202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7BD026C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4912B7C2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6E20751A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E39484D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924908" w:rsidRPr="00D50D67" w14:paraId="7EB2FC33" w14:textId="77777777" w:rsidTr="00EC05EE">
        <w:tc>
          <w:tcPr>
            <w:tcW w:w="993" w:type="dxa"/>
            <w:shd w:val="clear" w:color="auto" w:fill="auto"/>
          </w:tcPr>
          <w:p w14:paraId="2028ED4F" w14:textId="2657B563" w:rsidR="00924908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5D24BE5F" w14:textId="49501423" w:rsidR="00924908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Aprobación de la propuesta de aplicación del resultado de la Sociedad correspondiente al ejercicio cerrado a 31 de diciembre de 202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5A83812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17C0A85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0EAC4D16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3160463" w14:textId="77777777" w:rsidR="00924908" w:rsidRPr="00D50D67" w:rsidRDefault="00924908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A9237B" w:rsidRPr="00D50D67" w14:paraId="750DD214" w14:textId="77777777" w:rsidTr="00EC05EE">
        <w:tc>
          <w:tcPr>
            <w:tcW w:w="993" w:type="dxa"/>
            <w:shd w:val="clear" w:color="auto" w:fill="auto"/>
          </w:tcPr>
          <w:p w14:paraId="33823BDC" w14:textId="2316CE13" w:rsidR="00A9237B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263F3B85" w14:textId="5C219FC6" w:rsidR="00A9237B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 gestión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 xml:space="preserve"> social y actuación llevada a cabo por 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el Consejo de Administración durante el ejercicio social cerrado el 31 de diciembre de 202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2DB1390" w14:textId="77777777" w:rsidR="00A9237B" w:rsidRPr="00D50D67" w:rsidRDefault="00A9237B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98A68A3" w14:textId="77777777" w:rsidR="00A9237B" w:rsidRPr="00D50D67" w:rsidRDefault="00A9237B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DDCE938" w14:textId="77777777" w:rsidR="00A9237B" w:rsidRPr="00D50D67" w:rsidRDefault="00A9237B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EEBBF11" w14:textId="77777777" w:rsidR="00A9237B" w:rsidRPr="00D50D67" w:rsidRDefault="00A9237B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332720" w:rsidRPr="00D50D67" w14:paraId="082E61B2" w14:textId="77777777" w:rsidTr="00EC05EE">
        <w:tc>
          <w:tcPr>
            <w:tcW w:w="993" w:type="dxa"/>
            <w:shd w:val="clear" w:color="auto" w:fill="auto"/>
          </w:tcPr>
          <w:p w14:paraId="025C0C1B" w14:textId="311AFD53" w:rsidR="00332720" w:rsidRDefault="0083649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bookmarkStart w:id="0" w:name="_Hlk136279935"/>
            <w:r>
              <w:rPr>
                <w:rFonts w:ascii="Times New Roman" w:hAnsi="Times New Roman"/>
                <w:b/>
                <w:color w:val="000000"/>
                <w:lang w:eastAsia="es-ES"/>
              </w:rPr>
              <w:t>5.</w:t>
            </w:r>
            <w:r w:rsidR="004D4C91">
              <w:rPr>
                <w:rFonts w:ascii="Times New Roman" w:hAnsi="Times New Roman"/>
                <w:b/>
                <w:color w:val="000000"/>
                <w:lang w:eastAsia="es-ES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491F68" w14:textId="44A564FB" w:rsidR="00332720" w:rsidRPr="00D8544D" w:rsidRDefault="00AE4E53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Nombramiento de D</w:t>
            </w:r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ña. </w:t>
            </w:r>
            <w:r w:rsidR="00140154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Maria </w:t>
            </w:r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Isabel Gómez Casals</w:t>
            </w:r>
            <w:r w:rsidR="00D65EB3"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, como </w:t>
            </w:r>
            <w:r w:rsidR="00D65EB3"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lastRenderedPageBreak/>
              <w:t>consejer</w:t>
            </w:r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a</w:t>
            </w:r>
            <w:r w:rsidR="00D65EB3"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dominical de la Sociedad.</w:t>
            </w:r>
          </w:p>
        </w:tc>
        <w:tc>
          <w:tcPr>
            <w:tcW w:w="1134" w:type="dxa"/>
            <w:shd w:val="clear" w:color="auto" w:fill="auto"/>
          </w:tcPr>
          <w:p w14:paraId="3046AA15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1F7B52F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36EE7F7A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69D3605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332720" w:rsidRPr="00D50D67" w14:paraId="4B970ED6" w14:textId="77777777" w:rsidTr="00EC05EE">
        <w:tc>
          <w:tcPr>
            <w:tcW w:w="993" w:type="dxa"/>
            <w:shd w:val="clear" w:color="auto" w:fill="auto"/>
          </w:tcPr>
          <w:p w14:paraId="7DA0BB49" w14:textId="6E83365D" w:rsidR="00332720" w:rsidRDefault="0083649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5.</w:t>
            </w:r>
            <w:r w:rsidR="004D4C91">
              <w:rPr>
                <w:rFonts w:ascii="Times New Roman" w:hAnsi="Times New Roman"/>
                <w:b/>
                <w:color w:val="000000"/>
                <w:lang w:eastAsia="es-ES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3DEC16" w14:textId="0C4464D7" w:rsidR="00332720" w:rsidRPr="00D8544D" w:rsidRDefault="0083649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</w:pP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Reelección de D. </w:t>
            </w:r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Joaquín </w:t>
            </w:r>
            <w:proofErr w:type="spellStart"/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Espallargas</w:t>
            </w:r>
            <w:proofErr w:type="spellEnd"/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</w:t>
            </w:r>
            <w:proofErr w:type="spellStart"/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Iberni</w:t>
            </w:r>
            <w:proofErr w:type="spellEnd"/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, como consejero </w:t>
            </w:r>
            <w:r w:rsid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independiente</w:t>
            </w: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de la Sociedad.</w:t>
            </w:r>
          </w:p>
        </w:tc>
        <w:tc>
          <w:tcPr>
            <w:tcW w:w="1134" w:type="dxa"/>
            <w:shd w:val="clear" w:color="auto" w:fill="auto"/>
          </w:tcPr>
          <w:p w14:paraId="5496D88A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9FE0A16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61D5D3AB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326339E" w14:textId="77777777" w:rsidR="00332720" w:rsidRPr="00D50D67" w:rsidRDefault="00332720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4D4C91" w:rsidRPr="00D50D67" w14:paraId="1E4F2166" w14:textId="77777777" w:rsidTr="00EC05EE">
        <w:tc>
          <w:tcPr>
            <w:tcW w:w="993" w:type="dxa"/>
            <w:shd w:val="clear" w:color="auto" w:fill="auto"/>
          </w:tcPr>
          <w:p w14:paraId="719D7BC4" w14:textId="01E5CE34" w:rsidR="004D4C91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5.3.</w:t>
            </w:r>
          </w:p>
        </w:tc>
        <w:tc>
          <w:tcPr>
            <w:tcW w:w="2835" w:type="dxa"/>
            <w:shd w:val="clear" w:color="auto" w:fill="auto"/>
          </w:tcPr>
          <w:p w14:paraId="41A208A3" w14:textId="5817BE74" w:rsidR="004D4C91" w:rsidRPr="00D8544D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</w:pPr>
            <w:r w:rsidRP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Reelección de D. 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Alejandro Gortazar Fita</w:t>
            </w:r>
            <w:r w:rsidRP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, como consejero independiente de la Sociedad.</w:t>
            </w:r>
          </w:p>
        </w:tc>
        <w:tc>
          <w:tcPr>
            <w:tcW w:w="1134" w:type="dxa"/>
            <w:shd w:val="clear" w:color="auto" w:fill="auto"/>
          </w:tcPr>
          <w:p w14:paraId="00322791" w14:textId="19F015E2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F248AB1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57E977CD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2A5D0FC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4D4C91" w:rsidRPr="00D50D67" w14:paraId="2259EC00" w14:textId="77777777" w:rsidTr="00EC05EE">
        <w:tc>
          <w:tcPr>
            <w:tcW w:w="993" w:type="dxa"/>
            <w:shd w:val="clear" w:color="auto" w:fill="auto"/>
          </w:tcPr>
          <w:p w14:paraId="32ACA15D" w14:textId="46125438" w:rsidR="004D4C91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23B73851" w14:textId="441AFF11" w:rsidR="004D4C91" w:rsidRPr="004D4C91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Fijación del número de miembros del Consejo de Administración</w:t>
            </w:r>
          </w:p>
        </w:tc>
        <w:tc>
          <w:tcPr>
            <w:tcW w:w="1134" w:type="dxa"/>
            <w:shd w:val="clear" w:color="auto" w:fill="auto"/>
          </w:tcPr>
          <w:p w14:paraId="46F8327F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AB61F62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7DEC5FE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85EA7D8" w14:textId="77777777" w:rsidR="004D4C91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E070AA" w:rsidRPr="00D50D67" w14:paraId="7DFE3F9E" w14:textId="77777777" w:rsidTr="00EC05EE">
        <w:tc>
          <w:tcPr>
            <w:tcW w:w="993" w:type="dxa"/>
            <w:shd w:val="clear" w:color="auto" w:fill="auto"/>
          </w:tcPr>
          <w:p w14:paraId="6945DF86" w14:textId="60BA7613" w:rsidR="00E070AA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7</w:t>
            </w:r>
            <w:r w:rsidR="00E070AA" w:rsidRPr="00D50D67"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89CFF75" w14:textId="693441FE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Votación, con carácter consultivo, del Informe Anual de Remuneraciones</w:t>
            </w:r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 xml:space="preserve"> de los </w:t>
            </w:r>
            <w:proofErr w:type="gramStart"/>
            <w:r w:rsidR="004D4C91">
              <w:rPr>
                <w:rFonts w:ascii="Times New Roman" w:hAnsi="Times New Roman"/>
                <w:iCs/>
                <w:color w:val="000000"/>
                <w:lang w:eastAsia="es-ES"/>
              </w:rPr>
              <w:t>Consejeros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A00F4EE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1C14EF7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3FFF20FD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9A159C9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E070AA" w:rsidRPr="00D50D67" w14:paraId="5CA78638" w14:textId="77777777" w:rsidTr="00EC05EE">
        <w:tc>
          <w:tcPr>
            <w:tcW w:w="993" w:type="dxa"/>
            <w:shd w:val="clear" w:color="auto" w:fill="auto"/>
          </w:tcPr>
          <w:p w14:paraId="3B70C501" w14:textId="40C58A6F" w:rsidR="00E070AA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8</w:t>
            </w:r>
            <w:r w:rsidR="00EC05EE"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042995E" w14:textId="5DBB4BE2" w:rsidR="00E070AA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Reelección de auditores de la Sociedad y de su Grupo Consolidado</w:t>
            </w:r>
          </w:p>
        </w:tc>
        <w:tc>
          <w:tcPr>
            <w:tcW w:w="1134" w:type="dxa"/>
            <w:shd w:val="clear" w:color="auto" w:fill="auto"/>
          </w:tcPr>
          <w:p w14:paraId="4602A6EE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ECAD4FF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65A20FC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AB0688B" w14:textId="77777777" w:rsidR="00E070AA" w:rsidRPr="00D50D67" w:rsidRDefault="00E070AA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0B4F95" w:rsidRPr="00D50D67" w14:paraId="594235AF" w14:textId="77777777" w:rsidTr="00EC05EE">
        <w:tc>
          <w:tcPr>
            <w:tcW w:w="993" w:type="dxa"/>
            <w:shd w:val="clear" w:color="auto" w:fill="auto"/>
          </w:tcPr>
          <w:p w14:paraId="49514CAE" w14:textId="7DB67CB8" w:rsidR="000B4F95" w:rsidRPr="00D50D67" w:rsidRDefault="004D4C91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9</w:t>
            </w:r>
            <w:r w:rsidR="000B4F95" w:rsidRPr="00D50D67"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EF79D5B" w14:textId="4196CE39" w:rsidR="000B4F95" w:rsidRPr="00D50D67" w:rsidRDefault="000B4F95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Delegación de facultades para formalizar, aclarar, interpretar, subsanar y ejecutar los acuerdos adoptados por la Junta General de Accionistas.</w:t>
            </w:r>
          </w:p>
        </w:tc>
        <w:tc>
          <w:tcPr>
            <w:tcW w:w="1134" w:type="dxa"/>
            <w:shd w:val="clear" w:color="auto" w:fill="auto"/>
          </w:tcPr>
          <w:p w14:paraId="0C5C865A" w14:textId="77777777" w:rsidR="000B4F95" w:rsidRPr="00D50D67" w:rsidRDefault="000B4F95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549AD973" w14:textId="77777777" w:rsidR="000B4F95" w:rsidRPr="00D50D67" w:rsidRDefault="000B4F95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5394F7CE" w14:textId="77777777" w:rsidR="000B4F95" w:rsidRPr="00D50D67" w:rsidRDefault="000B4F95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4F36A50" w14:textId="77777777" w:rsidR="000B4F95" w:rsidRPr="00D50D67" w:rsidRDefault="000B4F95" w:rsidP="00D50D67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bookmarkEnd w:id="0"/>
    </w:tbl>
    <w:p w14:paraId="0AB2EDA3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0FC50D8" w14:textId="0AB6349B" w:rsid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B0CD263" w14:textId="77777777" w:rsidR="00D50D67" w:rsidRP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4B1B8105" w14:textId="2E01784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 xml:space="preserve">En </w:t>
      </w:r>
      <w:r w:rsidR="00146547" w:rsidRPr="00D50D67">
        <w:rPr>
          <w:rFonts w:ascii="Times New Roman" w:hAnsi="Times New Roman"/>
          <w:color w:val="000000"/>
          <w:lang w:eastAsia="es-ES"/>
        </w:rPr>
        <w:t>……………. a…………… de…………</w:t>
      </w:r>
      <w:proofErr w:type="gramStart"/>
      <w:r w:rsidR="00146547" w:rsidRPr="00D50D67">
        <w:rPr>
          <w:rFonts w:ascii="Times New Roman" w:hAnsi="Times New Roman"/>
          <w:color w:val="000000"/>
          <w:lang w:eastAsia="es-ES"/>
        </w:rPr>
        <w:t>…….</w:t>
      </w:r>
      <w:proofErr w:type="gramEnd"/>
      <w:r w:rsidR="00146547" w:rsidRPr="00D50D67">
        <w:rPr>
          <w:rFonts w:ascii="Times New Roman" w:hAnsi="Times New Roman"/>
          <w:color w:val="000000"/>
          <w:lang w:eastAsia="es-ES"/>
        </w:rPr>
        <w:t>. de 20</w:t>
      </w:r>
      <w:r w:rsidR="000B4F95" w:rsidRPr="00D50D67">
        <w:rPr>
          <w:rFonts w:ascii="Times New Roman" w:hAnsi="Times New Roman"/>
          <w:color w:val="000000"/>
          <w:lang w:eastAsia="es-ES"/>
        </w:rPr>
        <w:t>2</w:t>
      </w:r>
      <w:r w:rsidR="004D4C91">
        <w:rPr>
          <w:rFonts w:ascii="Times New Roman" w:hAnsi="Times New Roman"/>
          <w:color w:val="000000"/>
          <w:lang w:eastAsia="es-ES"/>
        </w:rPr>
        <w:t>3</w:t>
      </w:r>
      <w:r w:rsidR="00146547" w:rsidRPr="00D50D67">
        <w:rPr>
          <w:rFonts w:ascii="Times New Roman" w:hAnsi="Times New Roman"/>
          <w:color w:val="000000"/>
          <w:lang w:eastAsia="es-ES"/>
        </w:rPr>
        <w:t>.</w:t>
      </w:r>
    </w:p>
    <w:p w14:paraId="793168CA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78E14A0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0BA3916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32CB751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*</w:t>
      </w:r>
      <w:r w:rsidRPr="00D50D67">
        <w:rPr>
          <w:rFonts w:ascii="Times New Roman" w:hAnsi="Times New Roman"/>
          <w:color w:val="000000"/>
          <w:lang w:eastAsia="es-ES"/>
        </w:rPr>
        <w:tab/>
        <w:t>*</w:t>
      </w:r>
      <w:r w:rsidRPr="00D50D67">
        <w:rPr>
          <w:rFonts w:ascii="Times New Roman" w:hAnsi="Times New Roman"/>
          <w:color w:val="000000"/>
          <w:lang w:eastAsia="es-ES"/>
        </w:rPr>
        <w:tab/>
        <w:t>*</w:t>
      </w:r>
      <w:r w:rsidRPr="00D50D67">
        <w:rPr>
          <w:rFonts w:ascii="Times New Roman" w:hAnsi="Times New Roman"/>
          <w:color w:val="000000"/>
          <w:lang w:eastAsia="es-ES"/>
        </w:rPr>
        <w:br w:type="page"/>
      </w:r>
    </w:p>
    <w:p w14:paraId="05816C5B" w14:textId="77777777" w:rsidR="00E96978" w:rsidRPr="00D50D67" w:rsidRDefault="00E96978" w:rsidP="00D50D67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/>
          <w:b/>
          <w:bCs/>
          <w:color w:val="000000"/>
          <w:lang w:eastAsia="es-ES"/>
        </w:rPr>
      </w:pPr>
      <w:r w:rsidRPr="00D50D67">
        <w:rPr>
          <w:rFonts w:ascii="Times New Roman" w:hAnsi="Times New Roman"/>
          <w:b/>
          <w:bCs/>
          <w:color w:val="000000"/>
          <w:lang w:eastAsia="es-ES"/>
        </w:rPr>
        <w:lastRenderedPageBreak/>
        <w:t>DELEGACIÓN</w:t>
      </w:r>
    </w:p>
    <w:p w14:paraId="51268EF0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/>
          <w:b/>
          <w:bCs/>
          <w:color w:val="000000"/>
          <w:lang w:eastAsia="es-ES"/>
        </w:rPr>
      </w:pPr>
    </w:p>
    <w:p w14:paraId="4F4669A6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El accionista titular de esta tarjeta confiere su representación a:</w:t>
      </w:r>
    </w:p>
    <w:p w14:paraId="5B4FE4B0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305168C" w14:textId="77777777" w:rsidR="00146547" w:rsidRPr="00D50D67" w:rsidRDefault="00E96978" w:rsidP="00D50D67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 xml:space="preserve">El </w:t>
      </w:r>
      <w:proofErr w:type="gramStart"/>
      <w:r w:rsidRPr="00D50D67">
        <w:rPr>
          <w:rFonts w:ascii="Times New Roman" w:hAnsi="Times New Roman"/>
          <w:color w:val="000000"/>
          <w:lang w:eastAsia="es-ES"/>
        </w:rPr>
        <w:t>Presidente</w:t>
      </w:r>
      <w:proofErr w:type="gramEnd"/>
      <w:r w:rsidRPr="00D50D67">
        <w:rPr>
          <w:rFonts w:ascii="Times New Roman" w:hAnsi="Times New Roman"/>
          <w:color w:val="000000"/>
          <w:lang w:eastAsia="es-ES"/>
        </w:rPr>
        <w:t xml:space="preserve"> del Consejo de Administración de </w:t>
      </w:r>
      <w:r w:rsidR="00146547" w:rsidRPr="00D50D67">
        <w:rPr>
          <w:rFonts w:ascii="Times New Roman" w:hAnsi="Times New Roman"/>
          <w:color w:val="000000"/>
          <w:lang w:eastAsia="es-ES"/>
        </w:rPr>
        <w:t>ECOLUMBER</w:t>
      </w:r>
      <w:r w:rsidRPr="00D50D67">
        <w:rPr>
          <w:rFonts w:ascii="Times New Roman" w:hAnsi="Times New Roman"/>
          <w:color w:val="000000"/>
          <w:lang w:eastAsia="es-ES"/>
        </w:rPr>
        <w:t>, S.A.</w:t>
      </w:r>
    </w:p>
    <w:p w14:paraId="153EADD6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ind w:left="567"/>
        <w:jc w:val="both"/>
        <w:rPr>
          <w:rFonts w:ascii="Times New Roman" w:hAnsi="Times New Roman"/>
          <w:color w:val="000000"/>
          <w:lang w:eastAsia="es-ES"/>
        </w:rPr>
      </w:pPr>
    </w:p>
    <w:p w14:paraId="209FAE54" w14:textId="77777777" w:rsidR="00E96978" w:rsidRPr="00D50D67" w:rsidRDefault="00146547" w:rsidP="00D50D67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 xml:space="preserve">D/Dª. </w:t>
      </w:r>
      <w:r w:rsidR="00E96978" w:rsidRPr="00D50D67">
        <w:rPr>
          <w:rFonts w:ascii="Times New Roman" w:hAnsi="Times New Roman"/>
          <w:color w:val="000000"/>
          <w:lang w:eastAsia="es-ES"/>
        </w:rPr>
        <w:t>………………………………</w:t>
      </w:r>
      <w:r w:rsidRPr="00D50D67">
        <w:rPr>
          <w:rFonts w:ascii="Times New Roman" w:hAnsi="Times New Roman"/>
          <w:color w:val="000000"/>
          <w:lang w:eastAsia="es-ES"/>
        </w:rPr>
        <w:t>…………</w:t>
      </w:r>
      <w:r w:rsidR="00E96978" w:rsidRPr="00D50D67">
        <w:rPr>
          <w:rFonts w:ascii="Times New Roman" w:hAnsi="Times New Roman"/>
          <w:color w:val="000000"/>
          <w:lang w:eastAsia="es-ES"/>
        </w:rPr>
        <w:t>……</w:t>
      </w:r>
      <w:r w:rsidRPr="00D50D67">
        <w:rPr>
          <w:rFonts w:ascii="Times New Roman" w:hAnsi="Times New Roman"/>
          <w:color w:val="000000"/>
          <w:lang w:eastAsia="es-ES"/>
        </w:rPr>
        <w:t xml:space="preserve">, con </w:t>
      </w:r>
      <w:r w:rsidR="00E96978" w:rsidRPr="00D50D67">
        <w:rPr>
          <w:rFonts w:ascii="Times New Roman" w:hAnsi="Times New Roman"/>
          <w:color w:val="000000"/>
          <w:lang w:eastAsia="es-ES"/>
        </w:rPr>
        <w:t xml:space="preserve">DNI </w:t>
      </w:r>
      <w:proofErr w:type="spellStart"/>
      <w:r w:rsidR="00E96978" w:rsidRPr="00D50D67">
        <w:rPr>
          <w:rFonts w:ascii="Times New Roman" w:hAnsi="Times New Roman"/>
          <w:color w:val="000000"/>
          <w:lang w:eastAsia="es-ES"/>
        </w:rPr>
        <w:t>nº</w:t>
      </w:r>
      <w:proofErr w:type="spellEnd"/>
      <w:r w:rsidR="00E96978" w:rsidRPr="00D50D67">
        <w:rPr>
          <w:rFonts w:ascii="Times New Roman" w:hAnsi="Times New Roman"/>
          <w:color w:val="000000"/>
          <w:lang w:eastAsia="es-ES"/>
        </w:rPr>
        <w:t>……………………</w:t>
      </w:r>
    </w:p>
    <w:p w14:paraId="28EFA036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BE20D57" w14:textId="77777777" w:rsidR="00E96978" w:rsidRPr="00D50D67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 xml:space="preserve">Se entenderá conferida al </w:t>
      </w:r>
      <w:proofErr w:type="gramStart"/>
      <w:r w:rsidRPr="00D50D67">
        <w:rPr>
          <w:rFonts w:ascii="Times New Roman" w:hAnsi="Times New Roman"/>
          <w:color w:val="000000"/>
          <w:lang w:eastAsia="es-ES"/>
        </w:rPr>
        <w:t>Presidente</w:t>
      </w:r>
      <w:proofErr w:type="gramEnd"/>
      <w:r w:rsidRPr="00D50D67">
        <w:rPr>
          <w:rFonts w:ascii="Times New Roman" w:hAnsi="Times New Roman"/>
          <w:color w:val="000000"/>
          <w:lang w:eastAsia="es-ES"/>
        </w:rPr>
        <w:t xml:space="preserve"> del Consejo de Administración toda delegación que no</w:t>
      </w:r>
      <w:r w:rsidR="00146547" w:rsidRPr="00D50D67">
        <w:rPr>
          <w:rFonts w:ascii="Times New Roman" w:hAnsi="Times New Roman"/>
          <w:color w:val="000000"/>
          <w:lang w:eastAsia="es-ES"/>
        </w:rPr>
        <w:t xml:space="preserve"> </w:t>
      </w:r>
      <w:r w:rsidRPr="00D50D67">
        <w:rPr>
          <w:rFonts w:ascii="Times New Roman" w:hAnsi="Times New Roman"/>
          <w:color w:val="000000"/>
          <w:lang w:eastAsia="es-ES"/>
        </w:rPr>
        <w:t>contenga expresión nominativa de la persona en quien se delega.</w:t>
      </w:r>
    </w:p>
    <w:p w14:paraId="7A266E49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F61E2C1" w14:textId="435FE865" w:rsidR="00E96978" w:rsidRDefault="00E96978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El representante votará a favor de todas las propuestas de acuerdo formuladas por el Consejo</w:t>
      </w:r>
      <w:r w:rsidR="00146547" w:rsidRPr="00D50D67">
        <w:rPr>
          <w:rFonts w:ascii="Times New Roman" w:hAnsi="Times New Roman"/>
          <w:color w:val="000000"/>
          <w:lang w:eastAsia="es-ES"/>
        </w:rPr>
        <w:t xml:space="preserve"> </w:t>
      </w:r>
      <w:r w:rsidRPr="00D50D67">
        <w:rPr>
          <w:rFonts w:ascii="Times New Roman" w:hAnsi="Times New Roman"/>
          <w:color w:val="000000"/>
          <w:lang w:eastAsia="es-ES"/>
        </w:rPr>
        <w:t>de Administrac</w:t>
      </w:r>
      <w:r w:rsidR="00146547" w:rsidRPr="00D50D67">
        <w:rPr>
          <w:rFonts w:ascii="Times New Roman" w:hAnsi="Times New Roman"/>
          <w:color w:val="000000"/>
          <w:lang w:eastAsia="es-ES"/>
        </w:rPr>
        <w:t>ión respecto de los puntos del Orden del D</w:t>
      </w:r>
      <w:r w:rsidRPr="00D50D67">
        <w:rPr>
          <w:rFonts w:ascii="Times New Roman" w:hAnsi="Times New Roman"/>
          <w:color w:val="000000"/>
          <w:lang w:eastAsia="es-ES"/>
        </w:rPr>
        <w:t>ía adjunto salvo instrucciones</w:t>
      </w:r>
      <w:r w:rsidR="00146547" w:rsidRPr="00D50D67">
        <w:rPr>
          <w:rFonts w:ascii="Times New Roman" w:hAnsi="Times New Roman"/>
          <w:color w:val="000000"/>
          <w:lang w:eastAsia="es-ES"/>
        </w:rPr>
        <w:t xml:space="preserve"> </w:t>
      </w:r>
      <w:r w:rsidRPr="00D50D67">
        <w:rPr>
          <w:rFonts w:ascii="Times New Roman" w:hAnsi="Times New Roman"/>
          <w:color w:val="000000"/>
          <w:lang w:eastAsia="es-ES"/>
        </w:rPr>
        <w:t>expresas de voto distintas a continuación. Marque las casillas correspondientes:</w:t>
      </w:r>
    </w:p>
    <w:p w14:paraId="51633FBC" w14:textId="77777777" w:rsidR="006D53C9" w:rsidRPr="00D50D67" w:rsidRDefault="006D53C9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DF0F7D0" w14:textId="3194AE89" w:rsid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1275"/>
        <w:gridCol w:w="1134"/>
      </w:tblGrid>
      <w:tr w:rsidR="006D53C9" w:rsidRPr="00D50D67" w14:paraId="5BAAF5C1" w14:textId="77777777" w:rsidTr="000F7461">
        <w:tc>
          <w:tcPr>
            <w:tcW w:w="993" w:type="dxa"/>
            <w:shd w:val="clear" w:color="auto" w:fill="F2F2F2"/>
          </w:tcPr>
          <w:p w14:paraId="6E02A2AC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Orden del Día</w:t>
            </w:r>
          </w:p>
        </w:tc>
        <w:tc>
          <w:tcPr>
            <w:tcW w:w="2835" w:type="dxa"/>
            <w:shd w:val="clear" w:color="auto" w:fill="F2F2F2"/>
          </w:tcPr>
          <w:p w14:paraId="76278ED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Acuerdos</w:t>
            </w:r>
          </w:p>
        </w:tc>
        <w:tc>
          <w:tcPr>
            <w:tcW w:w="1134" w:type="dxa"/>
            <w:shd w:val="clear" w:color="auto" w:fill="F2F2F2"/>
          </w:tcPr>
          <w:p w14:paraId="669EC09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 Favor</w:t>
            </w:r>
          </w:p>
        </w:tc>
        <w:tc>
          <w:tcPr>
            <w:tcW w:w="1134" w:type="dxa"/>
            <w:shd w:val="clear" w:color="auto" w:fill="F2F2F2"/>
          </w:tcPr>
          <w:p w14:paraId="734E500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En Contra</w:t>
            </w:r>
          </w:p>
        </w:tc>
        <w:tc>
          <w:tcPr>
            <w:tcW w:w="1275" w:type="dxa"/>
            <w:shd w:val="clear" w:color="auto" w:fill="F2F2F2"/>
          </w:tcPr>
          <w:p w14:paraId="1E60A563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Abstención</w:t>
            </w:r>
          </w:p>
        </w:tc>
        <w:tc>
          <w:tcPr>
            <w:tcW w:w="1134" w:type="dxa"/>
            <w:shd w:val="clear" w:color="auto" w:fill="F2F2F2"/>
          </w:tcPr>
          <w:p w14:paraId="7CB58B39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24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En Blanco</w:t>
            </w:r>
          </w:p>
        </w:tc>
      </w:tr>
      <w:tr w:rsidR="006D53C9" w:rsidRPr="00D50D67" w14:paraId="0337B084" w14:textId="77777777" w:rsidTr="000F7461">
        <w:tc>
          <w:tcPr>
            <w:tcW w:w="993" w:type="dxa"/>
            <w:shd w:val="clear" w:color="auto" w:fill="auto"/>
          </w:tcPr>
          <w:p w14:paraId="48A2C441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74FD4F8" w14:textId="1898B285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las Cuentas Anuales e Informe de Gestión Individuales de la Sociedad, correspondientes al ejercicio cerrado el 31 de diciembre de 202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CAA0263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12A7711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35269E9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59FEC4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491951B3" w14:textId="77777777" w:rsidTr="000F7461">
        <w:tc>
          <w:tcPr>
            <w:tcW w:w="993" w:type="dxa"/>
            <w:shd w:val="clear" w:color="auto" w:fill="auto"/>
          </w:tcPr>
          <w:p w14:paraId="0A7B7A31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E0B7329" w14:textId="2992980F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las Cuentas Anuales e Informe de Gestión Consolidados de la Sociedad, correspondientes al ejercicio cerrado el 31 de diciembre de 202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84DAFB2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75A18FB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67D1C71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58B8EAEC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432B6FDB" w14:textId="77777777" w:rsidTr="000F7461">
        <w:tc>
          <w:tcPr>
            <w:tcW w:w="993" w:type="dxa"/>
            <w:shd w:val="clear" w:color="auto" w:fill="auto"/>
          </w:tcPr>
          <w:p w14:paraId="6B60246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62627915" w14:textId="101715E7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Aprobación de la propuesta de aplicación del resultado de la Sociedad correspondiente al ejercicio cerrado a 31 de diciembre de 202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6CC14D5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E483966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03CEC803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EDBD948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5E803A13" w14:textId="77777777" w:rsidTr="000F7461">
        <w:tc>
          <w:tcPr>
            <w:tcW w:w="993" w:type="dxa"/>
            <w:shd w:val="clear" w:color="auto" w:fill="auto"/>
          </w:tcPr>
          <w:p w14:paraId="746EF015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14:paraId="5EFD596D" w14:textId="5A8AEF25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Examen y aprobación, en su caso, de la gestión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 xml:space="preserve"> social y actuación llevada a cabo por 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el Consejo de Administración durante el ejercicio social cerrado el 31 de diciembre de 202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>2</w:t>
            </w: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85C97EB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533CECBC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6352C462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944C681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49A54CEC" w14:textId="77777777" w:rsidTr="000F7461">
        <w:tc>
          <w:tcPr>
            <w:tcW w:w="993" w:type="dxa"/>
            <w:shd w:val="clear" w:color="auto" w:fill="auto"/>
          </w:tcPr>
          <w:p w14:paraId="7840C47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5.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7BCFF36" w14:textId="7616F629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Nombramiento de Dña.</w:t>
            </w:r>
            <w:r w:rsidR="00080BD0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Maria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Isabel Gómez Casals</w:t>
            </w: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, como consejer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a</w:t>
            </w: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dominical de la Sociedad.</w:t>
            </w:r>
          </w:p>
        </w:tc>
        <w:tc>
          <w:tcPr>
            <w:tcW w:w="1134" w:type="dxa"/>
            <w:shd w:val="clear" w:color="auto" w:fill="auto"/>
          </w:tcPr>
          <w:p w14:paraId="5897A4A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4C94023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6526D61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DF135AF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466D43DE" w14:textId="77777777" w:rsidTr="000F7461">
        <w:tc>
          <w:tcPr>
            <w:tcW w:w="993" w:type="dxa"/>
            <w:shd w:val="clear" w:color="auto" w:fill="auto"/>
          </w:tcPr>
          <w:p w14:paraId="6584C51C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14:paraId="318AB909" w14:textId="293F2BB5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Reelección de D. 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Joaquín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Espallargas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Iberni</w:t>
            </w:r>
            <w:proofErr w:type="spellEnd"/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, como consejero 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independiente</w:t>
            </w:r>
            <w:r w:rsidRPr="00D8544D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 de la Sociedad.</w:t>
            </w:r>
          </w:p>
        </w:tc>
        <w:tc>
          <w:tcPr>
            <w:tcW w:w="1134" w:type="dxa"/>
            <w:shd w:val="clear" w:color="auto" w:fill="auto"/>
          </w:tcPr>
          <w:p w14:paraId="31E95D65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0B0BE56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782D07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0855726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6447741B" w14:textId="77777777" w:rsidTr="000F7461">
        <w:tc>
          <w:tcPr>
            <w:tcW w:w="993" w:type="dxa"/>
            <w:shd w:val="clear" w:color="auto" w:fill="auto"/>
          </w:tcPr>
          <w:p w14:paraId="68D16740" w14:textId="77777777" w:rsidR="006D53C9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5.3.</w:t>
            </w:r>
          </w:p>
        </w:tc>
        <w:tc>
          <w:tcPr>
            <w:tcW w:w="2835" w:type="dxa"/>
            <w:shd w:val="clear" w:color="auto" w:fill="auto"/>
          </w:tcPr>
          <w:p w14:paraId="4472E6A7" w14:textId="382E7BEC" w:rsidR="006D53C9" w:rsidRPr="00D8544D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</w:pPr>
            <w:r w:rsidRP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 xml:space="preserve">Reelección de D. </w:t>
            </w: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Alejandro Gortazar Fita</w:t>
            </w:r>
            <w:r w:rsidRPr="004D4C91"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, como consejero independiente de la Sociedad.</w:t>
            </w:r>
          </w:p>
        </w:tc>
        <w:tc>
          <w:tcPr>
            <w:tcW w:w="1134" w:type="dxa"/>
            <w:shd w:val="clear" w:color="auto" w:fill="auto"/>
          </w:tcPr>
          <w:p w14:paraId="07077DCC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4571A88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345AACA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59DDD82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31B6320A" w14:textId="77777777" w:rsidTr="000F7461">
        <w:tc>
          <w:tcPr>
            <w:tcW w:w="993" w:type="dxa"/>
            <w:shd w:val="clear" w:color="auto" w:fill="auto"/>
          </w:tcPr>
          <w:p w14:paraId="32391D08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541B93DF" w14:textId="1866C02D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Fijación del número de miembros del Consejo de Administración</w:t>
            </w:r>
          </w:p>
        </w:tc>
        <w:tc>
          <w:tcPr>
            <w:tcW w:w="1134" w:type="dxa"/>
            <w:shd w:val="clear" w:color="auto" w:fill="auto"/>
          </w:tcPr>
          <w:p w14:paraId="4104B54B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CABCB92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5AD8B4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DC4607B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76B67769" w14:textId="77777777" w:rsidTr="000F7461">
        <w:tc>
          <w:tcPr>
            <w:tcW w:w="993" w:type="dxa"/>
            <w:shd w:val="clear" w:color="auto" w:fill="auto"/>
          </w:tcPr>
          <w:p w14:paraId="35AA7DEE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8ADD432" w14:textId="2222BBDF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Votación, con carácter consultivo, del Informe Anual de Remuneraciones</w:t>
            </w:r>
            <w:r>
              <w:rPr>
                <w:rFonts w:ascii="Times New Roman" w:hAnsi="Times New Roman"/>
                <w:iCs/>
                <w:color w:val="000000"/>
                <w:lang w:eastAsia="es-ES"/>
              </w:rPr>
              <w:t xml:space="preserve"> de los </w:t>
            </w:r>
            <w:proofErr w:type="gramStart"/>
            <w:r>
              <w:rPr>
                <w:rFonts w:ascii="Times New Roman" w:hAnsi="Times New Roman"/>
                <w:iCs/>
                <w:color w:val="000000"/>
                <w:lang w:eastAsia="es-ES"/>
              </w:rPr>
              <w:t>Consejeros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FB27FF7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DE425F6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4911254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6C78F0B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6D53C9" w:rsidRPr="00D50D67" w14:paraId="32F1A0B0" w14:textId="77777777" w:rsidTr="000F7461">
        <w:tc>
          <w:tcPr>
            <w:tcW w:w="993" w:type="dxa"/>
            <w:shd w:val="clear" w:color="auto" w:fill="auto"/>
          </w:tcPr>
          <w:p w14:paraId="510FF18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8</w:t>
            </w:r>
            <w:r w:rsidRPr="00D50D67">
              <w:rPr>
                <w:rFonts w:ascii="Times New Roman" w:hAnsi="Times New Roman"/>
                <w:b/>
                <w:color w:val="000000"/>
                <w:lang w:eastAsia="es-E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B0AD2A" w14:textId="51A2869D" w:rsidR="006D53C9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s-ES"/>
              </w:rPr>
              <w:t>Reelección de auditores de la Sociedad y de su Grupo Consolidado</w:t>
            </w:r>
          </w:p>
        </w:tc>
        <w:tc>
          <w:tcPr>
            <w:tcW w:w="1134" w:type="dxa"/>
            <w:shd w:val="clear" w:color="auto" w:fill="auto"/>
          </w:tcPr>
          <w:p w14:paraId="73F01326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5C1B9269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8CCBEDB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51C2A2F0" w14:textId="77777777" w:rsidR="006D53C9" w:rsidRPr="00D50D67" w:rsidRDefault="006D53C9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  <w:tr w:rsidR="005D46E8" w:rsidRPr="00D50D67" w14:paraId="27C06F0D" w14:textId="77777777" w:rsidTr="000F7461">
        <w:tc>
          <w:tcPr>
            <w:tcW w:w="993" w:type="dxa"/>
            <w:shd w:val="clear" w:color="auto" w:fill="auto"/>
          </w:tcPr>
          <w:p w14:paraId="5F5AE31E" w14:textId="3A72ED62" w:rsidR="005D46E8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Times New Roman" w:hAnsi="Times New Roman"/>
                <w:b/>
                <w:color w:val="000000"/>
                <w:lang w:eastAsia="es-ES"/>
              </w:rPr>
            </w:pPr>
            <w:r>
              <w:rPr>
                <w:rFonts w:ascii="Times New Roman" w:hAnsi="Times New Roman"/>
                <w:b/>
                <w:color w:val="000000"/>
                <w:lang w:eastAsia="es-E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3CC7EC83" w14:textId="4885FDAB" w:rsidR="005D46E8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iCs/>
                <w:color w:val="000000"/>
                <w:lang w:eastAsia="es-ES"/>
              </w:rPr>
            </w:pPr>
            <w:r w:rsidRPr="00D50D67">
              <w:rPr>
                <w:rFonts w:ascii="Times New Roman" w:hAnsi="Times New Roman"/>
                <w:iCs/>
                <w:color w:val="000000"/>
                <w:lang w:eastAsia="es-ES"/>
              </w:rPr>
              <w:t>Delegación de facultades para formalizar, aclarar, interpretar, subsanar y ejecutar los acuerdos adoptados por la Junta General de Accionistas.</w:t>
            </w:r>
          </w:p>
        </w:tc>
        <w:tc>
          <w:tcPr>
            <w:tcW w:w="1134" w:type="dxa"/>
            <w:shd w:val="clear" w:color="auto" w:fill="auto"/>
          </w:tcPr>
          <w:p w14:paraId="5CC925AB" w14:textId="77777777" w:rsidR="005D46E8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BB70749" w14:textId="77777777" w:rsidR="005D46E8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79F4028" w14:textId="77777777" w:rsidR="005D46E8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36D00B2" w14:textId="77777777" w:rsidR="005D46E8" w:rsidRPr="00D50D67" w:rsidRDefault="005D46E8" w:rsidP="000F7461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Times New Roman" w:hAnsi="Times New Roman"/>
                <w:b/>
                <w:color w:val="000000"/>
                <w:lang w:eastAsia="es-ES"/>
              </w:rPr>
            </w:pPr>
          </w:p>
        </w:tc>
      </w:tr>
    </w:tbl>
    <w:p w14:paraId="78DA2DBF" w14:textId="77777777" w:rsidR="00D50D67" w:rsidRP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C7BDB2B" w14:textId="77777777" w:rsidR="00080BD0" w:rsidRDefault="00080BD0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09DD249" w14:textId="69EE77EE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lastRenderedPageBreak/>
        <w:t>Firma del Accionista:</w:t>
      </w:r>
    </w:p>
    <w:p w14:paraId="21992FA2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CC53006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3D00550" w14:textId="6519DF56" w:rsidR="0014654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C99E47F" w14:textId="77777777" w:rsidR="00D50D67" w:rsidRP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E688B34" w14:textId="280F86A9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En ……………. a… de…………. de 20</w:t>
      </w:r>
      <w:r w:rsidR="000B4F95" w:rsidRPr="00D50D67">
        <w:rPr>
          <w:rFonts w:ascii="Times New Roman" w:hAnsi="Times New Roman"/>
          <w:color w:val="000000"/>
          <w:lang w:eastAsia="es-ES"/>
        </w:rPr>
        <w:t>2</w:t>
      </w:r>
      <w:r w:rsidR="004D4C91">
        <w:rPr>
          <w:rFonts w:ascii="Times New Roman" w:hAnsi="Times New Roman"/>
          <w:color w:val="000000"/>
          <w:lang w:eastAsia="es-ES"/>
        </w:rPr>
        <w:t>3</w:t>
      </w:r>
      <w:r w:rsidRPr="00D50D67">
        <w:rPr>
          <w:rFonts w:ascii="Times New Roman" w:hAnsi="Times New Roman"/>
          <w:color w:val="000000"/>
          <w:lang w:eastAsia="es-ES"/>
        </w:rPr>
        <w:t>.</w:t>
      </w:r>
      <w:r w:rsidR="00E96978" w:rsidRPr="00D50D67">
        <w:rPr>
          <w:rFonts w:ascii="Times New Roman" w:hAnsi="Times New Roman"/>
          <w:color w:val="000000"/>
          <w:lang w:eastAsia="es-ES"/>
        </w:rPr>
        <w:t xml:space="preserve"> </w:t>
      </w:r>
    </w:p>
    <w:p w14:paraId="6BB12C1F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06F68020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399DFD9A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Firma del Representante:</w:t>
      </w:r>
    </w:p>
    <w:p w14:paraId="7D16DCB3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11DC479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1E074321" w14:textId="77777777" w:rsidR="00146547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17A7157E" w14:textId="26DFB873" w:rsidR="0014654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FB3E539" w14:textId="77777777" w:rsidR="00D50D67" w:rsidRPr="00D50D67" w:rsidRDefault="00D50D6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FF047B4" w14:textId="03C0E101" w:rsidR="00E96978" w:rsidRPr="00D50D67" w:rsidRDefault="00146547" w:rsidP="00D50D6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D50D67">
        <w:rPr>
          <w:rFonts w:ascii="Times New Roman" w:hAnsi="Times New Roman"/>
          <w:color w:val="000000"/>
          <w:lang w:eastAsia="es-ES"/>
        </w:rPr>
        <w:t>En ……………. a…… de………</w:t>
      </w:r>
      <w:proofErr w:type="gramStart"/>
      <w:r w:rsidRPr="00D50D67">
        <w:rPr>
          <w:rFonts w:ascii="Times New Roman" w:hAnsi="Times New Roman"/>
          <w:color w:val="000000"/>
          <w:lang w:eastAsia="es-ES"/>
        </w:rPr>
        <w:t>…….</w:t>
      </w:r>
      <w:proofErr w:type="gramEnd"/>
      <w:r w:rsidRPr="00D50D67">
        <w:rPr>
          <w:rFonts w:ascii="Times New Roman" w:hAnsi="Times New Roman"/>
          <w:color w:val="000000"/>
          <w:lang w:eastAsia="es-ES"/>
        </w:rPr>
        <w:t>. de 20</w:t>
      </w:r>
      <w:r w:rsidR="000B4F95" w:rsidRPr="00D50D67">
        <w:rPr>
          <w:rFonts w:ascii="Times New Roman" w:hAnsi="Times New Roman"/>
          <w:color w:val="000000"/>
          <w:lang w:eastAsia="es-ES"/>
        </w:rPr>
        <w:t>2</w:t>
      </w:r>
      <w:r w:rsidR="004D4C91">
        <w:rPr>
          <w:rFonts w:ascii="Times New Roman" w:hAnsi="Times New Roman"/>
          <w:color w:val="000000"/>
          <w:lang w:eastAsia="es-ES"/>
        </w:rPr>
        <w:t>3</w:t>
      </w:r>
      <w:r w:rsidRPr="00D50D67">
        <w:rPr>
          <w:rFonts w:ascii="Times New Roman" w:hAnsi="Times New Roman"/>
          <w:color w:val="000000"/>
          <w:lang w:eastAsia="es-ES"/>
        </w:rPr>
        <w:t>.</w:t>
      </w:r>
    </w:p>
    <w:p w14:paraId="3FFBC8CA" w14:textId="77777777" w:rsidR="001171BB" w:rsidRPr="00D50D67" w:rsidRDefault="001171BB" w:rsidP="00D50D6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lang w:eastAsia="es-ES"/>
        </w:rPr>
      </w:pPr>
    </w:p>
    <w:sectPr w:rsidR="001171BB" w:rsidRPr="00D50D67" w:rsidSect="001465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68D0" w14:textId="77777777" w:rsidR="00E50AED" w:rsidRDefault="00E50AED" w:rsidP="00146547">
      <w:pPr>
        <w:spacing w:after="0" w:line="240" w:lineRule="auto"/>
      </w:pPr>
      <w:r>
        <w:separator/>
      </w:r>
    </w:p>
  </w:endnote>
  <w:endnote w:type="continuationSeparator" w:id="0">
    <w:p w14:paraId="72573560" w14:textId="77777777" w:rsidR="00E50AED" w:rsidRDefault="00E50AED" w:rsidP="0014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784B" w14:textId="77777777" w:rsidR="00146547" w:rsidRPr="00146547" w:rsidRDefault="00146547" w:rsidP="00146547">
    <w:pPr>
      <w:pStyle w:val="Piedepgina"/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16D" w14:textId="77777777" w:rsidR="00E50AED" w:rsidRDefault="00E50AED" w:rsidP="00146547">
      <w:pPr>
        <w:spacing w:after="0" w:line="240" w:lineRule="auto"/>
      </w:pPr>
      <w:r>
        <w:separator/>
      </w:r>
    </w:p>
  </w:footnote>
  <w:footnote w:type="continuationSeparator" w:id="0">
    <w:p w14:paraId="63994292" w14:textId="77777777" w:rsidR="00E50AED" w:rsidRDefault="00E50AED" w:rsidP="0014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1330" w14:textId="11BB7B4E" w:rsidR="00566708" w:rsidRDefault="00D50D67" w:rsidP="00D50D67">
    <w:pPr>
      <w:pStyle w:val="Encabezado"/>
      <w:jc w:val="right"/>
    </w:pPr>
    <w:r>
      <w:rPr>
        <w:noProof/>
      </w:rPr>
      <w:drawing>
        <wp:inline distT="0" distB="0" distL="0" distR="0" wp14:anchorId="607612CF" wp14:editId="2CBC873C">
          <wp:extent cx="1905000" cy="676275"/>
          <wp:effectExtent l="0" t="0" r="0" b="9525"/>
          <wp:docPr id="3" name="Imagen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78D"/>
    <w:multiLevelType w:val="hybridMultilevel"/>
    <w:tmpl w:val="58868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7CF9"/>
    <w:multiLevelType w:val="hybridMultilevel"/>
    <w:tmpl w:val="4E8A6BAE"/>
    <w:lvl w:ilvl="0" w:tplc="E02A63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58526">
    <w:abstractNumId w:val="0"/>
  </w:num>
  <w:num w:numId="2" w16cid:durableId="24388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78"/>
    <w:rsid w:val="00035810"/>
    <w:rsid w:val="0007351C"/>
    <w:rsid w:val="00080BD0"/>
    <w:rsid w:val="000B4F95"/>
    <w:rsid w:val="001171BB"/>
    <w:rsid w:val="0012114A"/>
    <w:rsid w:val="00140154"/>
    <w:rsid w:val="00146547"/>
    <w:rsid w:val="001772F2"/>
    <w:rsid w:val="001E0706"/>
    <w:rsid w:val="002213A7"/>
    <w:rsid w:val="002502A6"/>
    <w:rsid w:val="00281B69"/>
    <w:rsid w:val="00282DE3"/>
    <w:rsid w:val="00293F6D"/>
    <w:rsid w:val="002B34F3"/>
    <w:rsid w:val="002E0CB3"/>
    <w:rsid w:val="00332720"/>
    <w:rsid w:val="00353169"/>
    <w:rsid w:val="003A1818"/>
    <w:rsid w:val="003E09FF"/>
    <w:rsid w:val="004324C6"/>
    <w:rsid w:val="004D4C91"/>
    <w:rsid w:val="004E7708"/>
    <w:rsid w:val="00566708"/>
    <w:rsid w:val="00581EB6"/>
    <w:rsid w:val="005A7F41"/>
    <w:rsid w:val="005B576F"/>
    <w:rsid w:val="005C050B"/>
    <w:rsid w:val="005D46E8"/>
    <w:rsid w:val="005E05B1"/>
    <w:rsid w:val="005E421A"/>
    <w:rsid w:val="00626C89"/>
    <w:rsid w:val="00682A4D"/>
    <w:rsid w:val="006D3303"/>
    <w:rsid w:val="006D53C9"/>
    <w:rsid w:val="0082647A"/>
    <w:rsid w:val="0083649A"/>
    <w:rsid w:val="008A33DC"/>
    <w:rsid w:val="008D1ED1"/>
    <w:rsid w:val="008E71B9"/>
    <w:rsid w:val="0091345E"/>
    <w:rsid w:val="00914AFA"/>
    <w:rsid w:val="00924908"/>
    <w:rsid w:val="00942389"/>
    <w:rsid w:val="00956457"/>
    <w:rsid w:val="009802C9"/>
    <w:rsid w:val="009823FC"/>
    <w:rsid w:val="009C13CC"/>
    <w:rsid w:val="009C33FA"/>
    <w:rsid w:val="00A9237B"/>
    <w:rsid w:val="00AC4E8D"/>
    <w:rsid w:val="00AD5670"/>
    <w:rsid w:val="00AE4E53"/>
    <w:rsid w:val="00B45C73"/>
    <w:rsid w:val="00B8378D"/>
    <w:rsid w:val="00BC3C53"/>
    <w:rsid w:val="00C13405"/>
    <w:rsid w:val="00C46E07"/>
    <w:rsid w:val="00D50D67"/>
    <w:rsid w:val="00D65EB3"/>
    <w:rsid w:val="00DD3127"/>
    <w:rsid w:val="00E070AA"/>
    <w:rsid w:val="00E50AED"/>
    <w:rsid w:val="00E67F5F"/>
    <w:rsid w:val="00E96978"/>
    <w:rsid w:val="00EC05EE"/>
    <w:rsid w:val="00F04A6C"/>
    <w:rsid w:val="00F160CA"/>
    <w:rsid w:val="00F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1C5D"/>
  <w15:chartTrackingRefBased/>
  <w15:docId w15:val="{5A7E8727-1F0A-4B5A-B872-3EF479A6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F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65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465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465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4654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4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51.29A34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0994-3594-4439-9D8E-AC5F7E2F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Delegación y Voto a Distancia</vt:lpstr>
    </vt:vector>
  </TitlesOfParts>
  <Company>Ferreras Abogados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Delegación y Voto a Distancia</dc:title>
  <dc:subject/>
  <dc:creator>Pedro Ferreras García</dc:creator>
  <cp:keywords/>
  <cp:lastModifiedBy>CMS-ASL</cp:lastModifiedBy>
  <cp:revision>5</cp:revision>
  <cp:lastPrinted>2014-02-17T10:37:00Z</cp:lastPrinted>
  <dcterms:created xsi:type="dcterms:W3CDTF">2023-05-29T17:15:00Z</dcterms:created>
  <dcterms:modified xsi:type="dcterms:W3CDTF">2023-05-30T09:29:00Z</dcterms:modified>
</cp:coreProperties>
</file>