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E6C0" w14:textId="76C4122D" w:rsidR="002119E8" w:rsidRPr="00305AE4" w:rsidRDefault="00305AE4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b/>
          <w:bCs/>
          <w:lang w:eastAsia="ko-KR"/>
        </w:rPr>
      </w:pPr>
      <w:r w:rsidRPr="00305AE4">
        <w:rPr>
          <w:rFonts w:ascii="Times New Roman" w:eastAsia="Batang" w:hAnsi="Times New Roman"/>
          <w:b/>
          <w:bCs/>
          <w:lang w:eastAsia="ko-KR"/>
        </w:rPr>
        <w:t>PROPUESTA QUE EMITE LA COMISIÓN DE NOMBRAMIENTOS Y RETRIBUCIONES DE ECOLUMBER, S.A. EN RELACIÓN CON LA REELECCIÓN DE D.</w:t>
      </w:r>
      <w:r w:rsidR="002E76EC">
        <w:rPr>
          <w:rFonts w:ascii="Times New Roman" w:eastAsia="Batang" w:hAnsi="Times New Roman"/>
          <w:b/>
          <w:bCs/>
          <w:lang w:eastAsia="ko-KR"/>
        </w:rPr>
        <w:t xml:space="preserve"> ALEJANDRO GORTAZAR FITA</w:t>
      </w:r>
      <w:r w:rsidRPr="00305AE4">
        <w:rPr>
          <w:rFonts w:ascii="Times New Roman" w:eastAsia="Batang" w:hAnsi="Times New Roman"/>
          <w:b/>
          <w:bCs/>
          <w:lang w:eastAsia="ko-KR"/>
        </w:rPr>
        <w:t>, COMO CONSEJERO INDEPENDIENTE.</w:t>
      </w:r>
    </w:p>
    <w:p w14:paraId="0D739FB1" w14:textId="77777777" w:rsidR="00305AE4" w:rsidRPr="00F96148" w:rsidRDefault="00305AE4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</w:p>
    <w:p w14:paraId="26CFE6C1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  <w:r w:rsidRPr="00F96148">
        <w:rPr>
          <w:rFonts w:ascii="Times New Roman" w:eastAsia="Batang" w:hAnsi="Times New Roman"/>
          <w:lang w:eastAsia="ko-KR"/>
        </w:rPr>
        <w:t xml:space="preserve">El artículo 529 </w:t>
      </w:r>
      <w:proofErr w:type="spellStart"/>
      <w:r w:rsidRPr="00F96148">
        <w:rPr>
          <w:rFonts w:ascii="Times New Roman" w:eastAsia="Batang" w:hAnsi="Times New Roman"/>
          <w:lang w:eastAsia="ko-KR"/>
        </w:rPr>
        <w:t>decies</w:t>
      </w:r>
      <w:proofErr w:type="spellEnd"/>
      <w:r w:rsidRPr="00F96148">
        <w:rPr>
          <w:rFonts w:ascii="Times New Roman" w:eastAsia="Batang" w:hAnsi="Times New Roman"/>
          <w:lang w:eastAsia="ko-KR"/>
        </w:rPr>
        <w:t xml:space="preserve"> de la Ley de Sociedades de Capital, en la redacción dada por la Ley 31/2014, de 3 de diciembre, establece que:</w:t>
      </w:r>
    </w:p>
    <w:p w14:paraId="26CFE6C2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</w:p>
    <w:p w14:paraId="26CFE6C3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  <w:r w:rsidRPr="00F96148">
        <w:rPr>
          <w:rFonts w:ascii="Times New Roman" w:eastAsia="Batang" w:hAnsi="Times New Roman"/>
          <w:i/>
          <w:lang w:eastAsia="ko-KR"/>
        </w:rPr>
        <w:t>“1. Los miembros del consejo de administración de una sociedad cotizada serán nombrados por la junta general de accionistas o, en caso de vacante anticipada, por el propio consejo por cooptación.</w:t>
      </w:r>
    </w:p>
    <w:p w14:paraId="26CFE6C4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</w:p>
    <w:p w14:paraId="26CFE6C5" w14:textId="77777777" w:rsidR="002119E8" w:rsidRPr="00F96148" w:rsidRDefault="00B92DFD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  <w:r w:rsidRPr="00F96148">
        <w:rPr>
          <w:rFonts w:ascii="Times New Roman" w:eastAsia="Batang" w:hAnsi="Times New Roman"/>
          <w:i/>
          <w:lang w:eastAsia="ko-KR"/>
        </w:rPr>
        <w:t>[…]</w:t>
      </w:r>
    </w:p>
    <w:p w14:paraId="26CFE6C6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</w:p>
    <w:p w14:paraId="26CFE6C7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  <w:r w:rsidRPr="00F96148">
        <w:rPr>
          <w:rFonts w:ascii="Times New Roman" w:eastAsia="Batang" w:hAnsi="Times New Roman"/>
          <w:i/>
          <w:lang w:eastAsia="ko-KR"/>
        </w:rPr>
        <w:t xml:space="preserve">4. </w:t>
      </w:r>
      <w:r w:rsidRPr="00F96148">
        <w:rPr>
          <w:rFonts w:ascii="Times New Roman" w:eastAsia="Batang" w:hAnsi="Times New Roman"/>
          <w:i/>
          <w:u w:val="single"/>
          <w:lang w:eastAsia="ko-KR"/>
        </w:rPr>
        <w:t>La propuesta de nombramiento o reelección de los miembros del consejo de administración corresponde a la comisión de nombramientos y retribuciones, si se trata de consejeros independientes,</w:t>
      </w:r>
      <w:r w:rsidRPr="00F96148">
        <w:rPr>
          <w:rFonts w:ascii="Times New Roman" w:eastAsia="Batang" w:hAnsi="Times New Roman"/>
          <w:i/>
          <w:lang w:eastAsia="ko-KR"/>
        </w:rPr>
        <w:t xml:space="preserve"> y al propio consejo, en los demás casos.</w:t>
      </w:r>
    </w:p>
    <w:p w14:paraId="26CFE6C8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</w:p>
    <w:p w14:paraId="26CFE6C9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  <w:r w:rsidRPr="00F96148">
        <w:rPr>
          <w:rFonts w:ascii="Times New Roman" w:eastAsia="Batang" w:hAnsi="Times New Roman"/>
          <w:i/>
          <w:lang w:eastAsia="ko-KR"/>
        </w:rPr>
        <w:t xml:space="preserve">5. </w:t>
      </w:r>
      <w:r w:rsidRPr="00F96148">
        <w:rPr>
          <w:rFonts w:ascii="Times New Roman" w:eastAsia="Batang" w:hAnsi="Times New Roman"/>
          <w:i/>
          <w:u w:val="single"/>
          <w:lang w:eastAsia="ko-KR"/>
        </w:rPr>
        <w:t>La propuesta deberá ir acompañada en todo caso de un informe justificativo del consejo en el que se valore la competencia, experiencia y méritos del candidato propuesto, que se unirá al acta de la junta general o del propio consejo</w:t>
      </w:r>
      <w:r w:rsidRPr="00F96148">
        <w:rPr>
          <w:rFonts w:ascii="Times New Roman" w:eastAsia="Batang" w:hAnsi="Times New Roman"/>
          <w:i/>
          <w:lang w:eastAsia="ko-KR"/>
        </w:rPr>
        <w:t>.</w:t>
      </w:r>
    </w:p>
    <w:p w14:paraId="26CFE6CA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</w:p>
    <w:p w14:paraId="26CFE6CB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  <w:r w:rsidRPr="00F96148">
        <w:rPr>
          <w:rFonts w:ascii="Times New Roman" w:eastAsia="Batang" w:hAnsi="Times New Roman"/>
          <w:i/>
          <w:lang w:eastAsia="ko-KR"/>
        </w:rPr>
        <w:t>6. La propuesta de nombramiento o reelección de cualquier consejero no independiente deberá ir precedida, además, de un informe de la comisión de nombramientos y retribuciones.</w:t>
      </w:r>
    </w:p>
    <w:p w14:paraId="26CFE6CC" w14:textId="77777777" w:rsidR="008F4E04" w:rsidRPr="00F96148" w:rsidRDefault="008F4E04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</w:p>
    <w:p w14:paraId="26CFE6CD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/>
          <w:lang w:eastAsia="ko-KR"/>
        </w:rPr>
      </w:pPr>
      <w:r w:rsidRPr="00F96148">
        <w:rPr>
          <w:rFonts w:ascii="Times New Roman" w:eastAsia="Batang" w:hAnsi="Times New Roman"/>
          <w:i/>
          <w:lang w:eastAsia="ko-KR"/>
        </w:rPr>
        <w:t>[...]”.</w:t>
      </w:r>
    </w:p>
    <w:p w14:paraId="26CFE6CE" w14:textId="77777777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</w:p>
    <w:p w14:paraId="26CFE6CF" w14:textId="5C8DE341" w:rsidR="002119E8" w:rsidRPr="00F9614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  <w:r w:rsidRPr="00F96148">
        <w:rPr>
          <w:rFonts w:ascii="Times New Roman" w:eastAsia="Batang" w:hAnsi="Times New Roman"/>
          <w:lang w:eastAsia="ko-KR"/>
        </w:rPr>
        <w:t xml:space="preserve">Para dar cumplimiento a lo establecido en el apartado 5 del artículo antes referido, la Comisión de Nombramientos y Retribuciones de ECOLUMBER, S.A. </w:t>
      </w:r>
      <w:r w:rsidR="00E877E8" w:rsidRPr="00F96148">
        <w:rPr>
          <w:rFonts w:ascii="Times New Roman" w:eastAsia="Batang" w:hAnsi="Times New Roman"/>
          <w:lang w:eastAsia="ko-KR"/>
        </w:rPr>
        <w:t>(la “</w:t>
      </w:r>
      <w:r w:rsidR="00E877E8" w:rsidRPr="00F96148">
        <w:rPr>
          <w:rFonts w:ascii="Times New Roman" w:eastAsia="Batang" w:hAnsi="Times New Roman"/>
          <w:b/>
          <w:bCs/>
          <w:lang w:eastAsia="ko-KR"/>
        </w:rPr>
        <w:t>Sociedad</w:t>
      </w:r>
      <w:r w:rsidR="00E877E8" w:rsidRPr="00F96148">
        <w:rPr>
          <w:rFonts w:ascii="Times New Roman" w:eastAsia="Batang" w:hAnsi="Times New Roman"/>
          <w:lang w:eastAsia="ko-KR"/>
        </w:rPr>
        <w:t xml:space="preserve">”) </w:t>
      </w:r>
      <w:r w:rsidRPr="00F96148">
        <w:rPr>
          <w:rFonts w:ascii="Times New Roman" w:eastAsia="Batang" w:hAnsi="Times New Roman"/>
          <w:lang w:eastAsia="ko-KR"/>
        </w:rPr>
        <w:t>ha elaborado la presente propuesta que se eleva al Consejo de Administración para su sometimiento a la Junta General de Accionistas, acompañada del correspondiente informe justificativo del Consejo de Administración en el que se valore la competencia, experiencia y méritos del candidato propuesto.</w:t>
      </w:r>
    </w:p>
    <w:p w14:paraId="4A5414E6" w14:textId="16B295B2" w:rsidR="00CD02BB" w:rsidRPr="00F96148" w:rsidRDefault="00CD02BB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</w:p>
    <w:p w14:paraId="0556F0BD" w14:textId="454A78B3" w:rsidR="006D7E6A" w:rsidRPr="00F96148" w:rsidRDefault="00CD02BB" w:rsidP="00F96148">
      <w:pPr>
        <w:tabs>
          <w:tab w:val="left" w:pos="709"/>
          <w:tab w:val="left" w:pos="1134"/>
        </w:tabs>
        <w:spacing w:line="312" w:lineRule="auto"/>
        <w:rPr>
          <w:rFonts w:ascii="Times New Roman" w:hAnsi="Times New Roman"/>
        </w:rPr>
      </w:pPr>
      <w:r w:rsidRPr="00F96148">
        <w:rPr>
          <w:rFonts w:ascii="Times New Roman" w:hAnsi="Times New Roman"/>
        </w:rPr>
        <w:t>La presente propuesta contiene igualmente, de conformidad con lo dispuesto en el artículo 518.e) LSC, información relativa a la identidad, currículo y la categoría a la que pertenece el consejero propuesto</w:t>
      </w:r>
      <w:r w:rsidR="006D7E6A" w:rsidRPr="00F96148">
        <w:rPr>
          <w:rFonts w:ascii="Times New Roman" w:hAnsi="Times New Roman"/>
        </w:rPr>
        <w:t xml:space="preserve">. </w:t>
      </w:r>
    </w:p>
    <w:p w14:paraId="55053368" w14:textId="43920874" w:rsidR="006D7E6A" w:rsidRPr="00F96148" w:rsidRDefault="006D7E6A" w:rsidP="00F96148">
      <w:pPr>
        <w:tabs>
          <w:tab w:val="left" w:pos="709"/>
          <w:tab w:val="left" w:pos="1134"/>
        </w:tabs>
        <w:spacing w:line="312" w:lineRule="auto"/>
        <w:rPr>
          <w:rFonts w:ascii="Times New Roman" w:hAnsi="Times New Roman"/>
        </w:rPr>
      </w:pPr>
    </w:p>
    <w:p w14:paraId="26CFE6D2" w14:textId="35865E5A" w:rsidR="002119E8" w:rsidRDefault="006D7E6A" w:rsidP="00F96148">
      <w:pPr>
        <w:tabs>
          <w:tab w:val="left" w:pos="709"/>
          <w:tab w:val="left" w:pos="1134"/>
        </w:tabs>
        <w:spacing w:line="312" w:lineRule="auto"/>
        <w:rPr>
          <w:rFonts w:ascii="Times New Roman" w:hAnsi="Times New Roman"/>
        </w:rPr>
      </w:pPr>
      <w:r w:rsidRPr="00F96148">
        <w:rPr>
          <w:rFonts w:ascii="Times New Roman" w:hAnsi="Times New Roman"/>
        </w:rPr>
        <w:t xml:space="preserve">Expuesto lo anterior, </w:t>
      </w:r>
      <w:r w:rsidR="00A4109C" w:rsidRPr="00F96148">
        <w:rPr>
          <w:rFonts w:ascii="Times New Roman" w:hAnsi="Times New Roman"/>
        </w:rPr>
        <w:t xml:space="preserve">en vista </w:t>
      </w:r>
      <w:r w:rsidR="00086443" w:rsidRPr="00F96148">
        <w:rPr>
          <w:rFonts w:ascii="Times New Roman" w:hAnsi="Times New Roman"/>
        </w:rPr>
        <w:t>al trabajo desempeñado hasta la fecha como Consejero</w:t>
      </w:r>
      <w:r w:rsidR="002E76EC">
        <w:rPr>
          <w:rFonts w:ascii="Times New Roman" w:hAnsi="Times New Roman"/>
        </w:rPr>
        <w:t xml:space="preserve">, </w:t>
      </w:r>
      <w:r w:rsidR="00086443" w:rsidRPr="00F96148">
        <w:rPr>
          <w:rFonts w:ascii="Times New Roman" w:hAnsi="Times New Roman"/>
        </w:rPr>
        <w:t xml:space="preserve">miembro de la Comisión de </w:t>
      </w:r>
      <w:r w:rsidR="005D0C79">
        <w:rPr>
          <w:rFonts w:ascii="Times New Roman" w:hAnsi="Times New Roman"/>
        </w:rPr>
        <w:t>Nombramientos y Retribuciones</w:t>
      </w:r>
      <w:r w:rsidR="002E76EC">
        <w:rPr>
          <w:rFonts w:ascii="Times New Roman" w:hAnsi="Times New Roman"/>
        </w:rPr>
        <w:t>, y Presidente de la Comisión de Auditor</w:t>
      </w:r>
      <w:r w:rsidR="004C3EEE">
        <w:rPr>
          <w:rFonts w:ascii="Times New Roman" w:hAnsi="Times New Roman"/>
        </w:rPr>
        <w:t>í</w:t>
      </w:r>
      <w:r w:rsidR="002E76EC">
        <w:rPr>
          <w:rFonts w:ascii="Times New Roman" w:hAnsi="Times New Roman"/>
        </w:rPr>
        <w:t>a y Cumplimiento</w:t>
      </w:r>
      <w:r w:rsidR="00086443" w:rsidRPr="00F96148">
        <w:rPr>
          <w:rFonts w:ascii="Times New Roman" w:hAnsi="Times New Roman"/>
        </w:rPr>
        <w:t xml:space="preserve"> </w:t>
      </w:r>
      <w:r w:rsidRPr="00F96148">
        <w:rPr>
          <w:rFonts w:ascii="Times New Roman" w:hAnsi="Times New Roman"/>
        </w:rPr>
        <w:t xml:space="preserve">y en vista de que, a fecha de hoy, D. </w:t>
      </w:r>
      <w:r w:rsidR="002E76EC">
        <w:rPr>
          <w:rFonts w:ascii="Times New Roman" w:hAnsi="Times New Roman"/>
        </w:rPr>
        <w:t>Alejandro Gortazar Fita</w:t>
      </w:r>
      <w:r w:rsidR="0051393C" w:rsidRPr="00F96148">
        <w:rPr>
          <w:rFonts w:ascii="Times New Roman" w:hAnsi="Times New Roman"/>
        </w:rPr>
        <w:t xml:space="preserve"> </w:t>
      </w:r>
      <w:r w:rsidRPr="00F96148">
        <w:rPr>
          <w:rFonts w:ascii="Times New Roman" w:hAnsi="Times New Roman"/>
        </w:rPr>
        <w:t xml:space="preserve">cumple con los </w:t>
      </w:r>
      <w:r w:rsidRPr="00F96148">
        <w:rPr>
          <w:rFonts w:ascii="Times New Roman" w:hAnsi="Times New Roman"/>
        </w:rPr>
        <w:lastRenderedPageBreak/>
        <w:t xml:space="preserve">requisitos establecidos en el artículo 529 </w:t>
      </w:r>
      <w:proofErr w:type="spellStart"/>
      <w:r w:rsidRPr="00F96148">
        <w:rPr>
          <w:rFonts w:ascii="Times New Roman" w:hAnsi="Times New Roman"/>
        </w:rPr>
        <w:t>duodecies</w:t>
      </w:r>
      <w:proofErr w:type="spellEnd"/>
      <w:r w:rsidRPr="00F96148">
        <w:rPr>
          <w:rFonts w:ascii="Times New Roman" w:hAnsi="Times New Roman"/>
        </w:rPr>
        <w:t xml:space="preserve"> de la Ley de Sociedades de Capital para ser </w:t>
      </w:r>
      <w:r w:rsidR="009A2025" w:rsidRPr="00F96148">
        <w:rPr>
          <w:rFonts w:ascii="Times New Roman" w:hAnsi="Times New Roman"/>
        </w:rPr>
        <w:t>reelegido</w:t>
      </w:r>
      <w:r w:rsidRPr="00F96148">
        <w:rPr>
          <w:rFonts w:ascii="Times New Roman" w:hAnsi="Times New Roman"/>
        </w:rPr>
        <w:t xml:space="preserve"> como Consejer</w:t>
      </w:r>
      <w:r w:rsidR="00A4109C" w:rsidRPr="00F96148">
        <w:rPr>
          <w:rFonts w:ascii="Times New Roman" w:hAnsi="Times New Roman"/>
        </w:rPr>
        <w:t>o</w:t>
      </w:r>
      <w:r w:rsidRPr="00F96148">
        <w:rPr>
          <w:rFonts w:ascii="Times New Roman" w:hAnsi="Times New Roman"/>
        </w:rPr>
        <w:t xml:space="preserve"> Independiente, lo cual ha sido verificado con los servicios jurídicos de la Sociedad, la Comisión de Nombramientos </w:t>
      </w:r>
      <w:r w:rsidR="00610075">
        <w:rPr>
          <w:rFonts w:ascii="Times New Roman" w:hAnsi="Times New Roman"/>
        </w:rPr>
        <w:t xml:space="preserve">y Retribuciones </w:t>
      </w:r>
      <w:r w:rsidRPr="00F96148">
        <w:rPr>
          <w:rFonts w:ascii="Times New Roman" w:hAnsi="Times New Roman"/>
        </w:rPr>
        <w:t xml:space="preserve">acuerda, por unanimidad, someter a la aprobación del Consejo de Administración </w:t>
      </w:r>
      <w:r w:rsidR="009A2025" w:rsidRPr="00F96148">
        <w:rPr>
          <w:rFonts w:ascii="Times New Roman" w:hAnsi="Times New Roman"/>
        </w:rPr>
        <w:t>la reelección</w:t>
      </w:r>
      <w:r w:rsidRPr="00F96148">
        <w:rPr>
          <w:rFonts w:ascii="Times New Roman" w:hAnsi="Times New Roman"/>
        </w:rPr>
        <w:t xml:space="preserve"> de </w:t>
      </w:r>
      <w:r w:rsidR="00517373" w:rsidRPr="00F96148">
        <w:rPr>
          <w:rFonts w:ascii="Times New Roman" w:hAnsi="Times New Roman"/>
        </w:rPr>
        <w:t xml:space="preserve">D. </w:t>
      </w:r>
      <w:r w:rsidR="00517373">
        <w:rPr>
          <w:rFonts w:ascii="Times New Roman" w:hAnsi="Times New Roman"/>
        </w:rPr>
        <w:t>Alejandro Gortazar Fita</w:t>
      </w:r>
      <w:r w:rsidR="008D6281" w:rsidRPr="00F96148">
        <w:rPr>
          <w:rFonts w:ascii="Times New Roman" w:hAnsi="Times New Roman"/>
        </w:rPr>
        <w:t xml:space="preserve"> </w:t>
      </w:r>
      <w:r w:rsidRPr="00F96148">
        <w:rPr>
          <w:rFonts w:ascii="Times New Roman" w:hAnsi="Times New Roman"/>
        </w:rPr>
        <w:t>como vocal del Consejo de Administración de la Sociedad, con la condición de consejer</w:t>
      </w:r>
      <w:r w:rsidR="00EA2E96">
        <w:rPr>
          <w:rFonts w:ascii="Times New Roman" w:hAnsi="Times New Roman"/>
        </w:rPr>
        <w:t>o</w:t>
      </w:r>
      <w:r w:rsidRPr="00F96148">
        <w:rPr>
          <w:rFonts w:ascii="Times New Roman" w:hAnsi="Times New Roman"/>
        </w:rPr>
        <w:t xml:space="preserve"> independiente, a tenor de lo establecido en el artículo 529 </w:t>
      </w:r>
      <w:proofErr w:type="spellStart"/>
      <w:r w:rsidRPr="00F96148">
        <w:rPr>
          <w:rFonts w:ascii="Times New Roman" w:hAnsi="Times New Roman"/>
        </w:rPr>
        <w:t>duodecies</w:t>
      </w:r>
      <w:proofErr w:type="spellEnd"/>
      <w:r w:rsidRPr="00F96148">
        <w:rPr>
          <w:rFonts w:ascii="Times New Roman" w:hAnsi="Times New Roman"/>
        </w:rPr>
        <w:t xml:space="preserve"> LSC, en su apartado 4 y en atención a la experiencia y los méritos que se indican a continuación:</w:t>
      </w:r>
    </w:p>
    <w:p w14:paraId="35762840" w14:textId="77777777" w:rsidR="009A2025" w:rsidRPr="00F06B52" w:rsidRDefault="009A2025" w:rsidP="00F06B52">
      <w:pPr>
        <w:spacing w:line="312" w:lineRule="auto"/>
        <w:rPr>
          <w:rFonts w:ascii="Times New Roman" w:hAnsi="Times New Roman"/>
        </w:rPr>
      </w:pPr>
    </w:p>
    <w:p w14:paraId="691BC33B" w14:textId="77777777" w:rsidR="00C35E3F" w:rsidRDefault="00C35E3F" w:rsidP="00C35E3F">
      <w:pPr>
        <w:pStyle w:val="Prrafodelista"/>
        <w:numPr>
          <w:ilvl w:val="0"/>
          <w:numId w:val="21"/>
        </w:numPr>
        <w:tabs>
          <w:tab w:val="left" w:pos="709"/>
          <w:tab w:val="left" w:pos="1134"/>
        </w:tabs>
        <w:spacing w:line="312" w:lineRule="auto"/>
        <w:rPr>
          <w:rFonts w:ascii="Times New Roman" w:hAnsi="Times New Roman"/>
        </w:rPr>
      </w:pPr>
      <w:r>
        <w:rPr>
          <w:rFonts w:ascii="Times New Roman" w:eastAsia="Batang" w:hAnsi="Times New Roman"/>
          <w:bCs/>
          <w:iCs/>
          <w:szCs w:val="22"/>
          <w:lang w:eastAsia="ko-KR"/>
        </w:rPr>
        <w:t>D. Alejandro Gortazar Fita</w:t>
      </w:r>
      <w:r>
        <w:rPr>
          <w:rFonts w:ascii="Times New Roman" w:hAnsi="Times New Roman"/>
        </w:rPr>
        <w:t xml:space="preserve"> es licenciado en ingeniería mecánica por la Universidad </w:t>
      </w:r>
      <w:proofErr w:type="spellStart"/>
      <w:r>
        <w:rPr>
          <w:rFonts w:ascii="Times New Roman" w:hAnsi="Times New Roman"/>
        </w:rPr>
        <w:t>Politecnica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Milan</w:t>
      </w:r>
      <w:proofErr w:type="spellEnd"/>
      <w:r>
        <w:rPr>
          <w:rFonts w:ascii="Times New Roman" w:hAnsi="Times New Roman"/>
        </w:rPr>
        <w:t xml:space="preserve"> y Programa de Alta Dirección de Empresa por ESADE. Ha trabajado en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Mac </w:t>
      </w:r>
      <w:proofErr w:type="spellStart"/>
      <w:r>
        <w:rPr>
          <w:rFonts w:ascii="Times New Roman" w:hAnsi="Times New Roman"/>
        </w:rPr>
        <w:t>Group</w:t>
      </w:r>
      <w:proofErr w:type="spellEnd"/>
      <w:r>
        <w:rPr>
          <w:rFonts w:ascii="Times New Roman" w:hAnsi="Times New Roman"/>
        </w:rPr>
        <w:t xml:space="preserve"> y en SIAR (Instituto de Estudios Escandinavos). </w:t>
      </w:r>
    </w:p>
    <w:p w14:paraId="691D911D" w14:textId="77777777" w:rsidR="00C35E3F" w:rsidRDefault="00C35E3F" w:rsidP="00C35E3F">
      <w:pPr>
        <w:pStyle w:val="Prrafodelista"/>
        <w:tabs>
          <w:tab w:val="left" w:pos="709"/>
          <w:tab w:val="left" w:pos="1134"/>
        </w:tabs>
        <w:spacing w:line="312" w:lineRule="auto"/>
        <w:ind w:left="720"/>
        <w:rPr>
          <w:rFonts w:ascii="Times New Roman" w:hAnsi="Times New Roman"/>
        </w:rPr>
      </w:pPr>
    </w:p>
    <w:p w14:paraId="2E54E7D8" w14:textId="77777777" w:rsidR="00C35E3F" w:rsidRDefault="00C35E3F" w:rsidP="00C35E3F">
      <w:pPr>
        <w:pStyle w:val="Prrafodelista"/>
        <w:numPr>
          <w:ilvl w:val="0"/>
          <w:numId w:val="21"/>
        </w:numPr>
        <w:tabs>
          <w:tab w:val="left" w:pos="709"/>
          <w:tab w:val="left" w:pos="1134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Durante su trayectoria profesional ha sido </w:t>
      </w:r>
      <w:proofErr w:type="gramStart"/>
      <w:r>
        <w:rPr>
          <w:rFonts w:ascii="Times New Roman" w:hAnsi="Times New Roman"/>
        </w:rPr>
        <w:t>Director</w:t>
      </w:r>
      <w:proofErr w:type="gramEnd"/>
      <w:r>
        <w:rPr>
          <w:rFonts w:ascii="Times New Roman" w:hAnsi="Times New Roman"/>
        </w:rPr>
        <w:t xml:space="preserve"> en Indra Sistemas, Consejero Delegado de </w:t>
      </w:r>
      <w:proofErr w:type="spellStart"/>
      <w:r>
        <w:rPr>
          <w:rFonts w:ascii="Times New Roman" w:hAnsi="Times New Roman"/>
        </w:rPr>
        <w:t>Univer</w:t>
      </w:r>
      <w:proofErr w:type="spellEnd"/>
      <w:r>
        <w:rPr>
          <w:rFonts w:ascii="Times New Roman" w:hAnsi="Times New Roman"/>
        </w:rPr>
        <w:t xml:space="preserve"> y Secretario General de la AESTOP (Patronal Europea de productores Oleo-neumáticos). </w:t>
      </w:r>
    </w:p>
    <w:p w14:paraId="0A4F08F0" w14:textId="77777777" w:rsidR="00C35E3F" w:rsidRDefault="00C35E3F" w:rsidP="00C35E3F">
      <w:pPr>
        <w:pStyle w:val="Prrafodelista"/>
        <w:spacing w:line="312" w:lineRule="auto"/>
        <w:rPr>
          <w:rFonts w:ascii="Times New Roman" w:hAnsi="Times New Roman"/>
        </w:rPr>
      </w:pPr>
    </w:p>
    <w:p w14:paraId="42E0582B" w14:textId="3EBFE64B" w:rsidR="00C35E3F" w:rsidRPr="00C35E3F" w:rsidRDefault="00C35E3F" w:rsidP="00C35E3F">
      <w:pPr>
        <w:pStyle w:val="Prrafodelista"/>
        <w:numPr>
          <w:ilvl w:val="0"/>
          <w:numId w:val="21"/>
        </w:numPr>
        <w:tabs>
          <w:tab w:val="left" w:pos="709"/>
          <w:tab w:val="left" w:pos="1134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Asimismo, acumula muchos años de experiencia en explotaciones agrarias familiares de vid, olivo, cereal y forraje; y actualmente está participando en el desarrollo de una compañía dedicada al cultivo de la trufa negra y participa en un Centro Especial de Empleo. </w:t>
      </w:r>
    </w:p>
    <w:p w14:paraId="6307F21E" w14:textId="77777777" w:rsidR="00C35E3F" w:rsidRPr="00F96148" w:rsidRDefault="00C35E3F">
      <w:pPr>
        <w:tabs>
          <w:tab w:val="left" w:pos="567"/>
          <w:tab w:val="left" w:pos="1134"/>
        </w:tabs>
        <w:spacing w:line="312" w:lineRule="auto"/>
        <w:rPr>
          <w:rFonts w:ascii="Times New Roman" w:hAnsi="Times New Roman"/>
        </w:rPr>
      </w:pPr>
    </w:p>
    <w:p w14:paraId="519753C9" w14:textId="096826A8" w:rsidR="009A2025" w:rsidRPr="00F96148" w:rsidRDefault="009A2025" w:rsidP="00F96148">
      <w:pPr>
        <w:tabs>
          <w:tab w:val="left" w:pos="567"/>
          <w:tab w:val="left" w:pos="1134"/>
        </w:tabs>
        <w:spacing w:line="312" w:lineRule="auto"/>
        <w:rPr>
          <w:rFonts w:ascii="Times New Roman" w:hAnsi="Times New Roman"/>
        </w:rPr>
      </w:pPr>
      <w:r w:rsidRPr="00F96148">
        <w:rPr>
          <w:rFonts w:ascii="Times New Roman" w:hAnsi="Times New Roman"/>
        </w:rPr>
        <w:t xml:space="preserve">El currículum académico y la trayectoria profesional de </w:t>
      </w:r>
      <w:r w:rsidR="00C35E3F" w:rsidRPr="00F96148">
        <w:rPr>
          <w:rFonts w:ascii="Times New Roman" w:hAnsi="Times New Roman"/>
        </w:rPr>
        <w:t xml:space="preserve">D. </w:t>
      </w:r>
      <w:r w:rsidR="00C35E3F">
        <w:rPr>
          <w:rFonts w:ascii="Times New Roman" w:hAnsi="Times New Roman"/>
        </w:rPr>
        <w:t>Alejandro Gortazar Fita</w:t>
      </w:r>
      <w:r w:rsidR="00C35E3F" w:rsidRPr="00F96148">
        <w:rPr>
          <w:rFonts w:ascii="Times New Roman" w:hAnsi="Times New Roman"/>
        </w:rPr>
        <w:t xml:space="preserve"> </w:t>
      </w:r>
      <w:r w:rsidRPr="00F96148">
        <w:rPr>
          <w:rFonts w:ascii="Times New Roman" w:hAnsi="Times New Roman"/>
        </w:rPr>
        <w:t>descritos en los apartados anteriores dan claras muestras de que cuenta con amplios conocimientos y experiencia en puestos de complejidad, poder de decisión y responsabilidad.</w:t>
      </w:r>
    </w:p>
    <w:p w14:paraId="26CFE6DB" w14:textId="77777777" w:rsidR="00986169" w:rsidRPr="00F96148" w:rsidRDefault="00986169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</w:p>
    <w:p w14:paraId="26CFE6DE" w14:textId="79F8F32E" w:rsidR="002119E8" w:rsidRDefault="002119E8" w:rsidP="0070788B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iCs/>
          <w:lang w:eastAsia="ko-KR"/>
        </w:rPr>
      </w:pPr>
      <w:r w:rsidRPr="00F96148">
        <w:rPr>
          <w:rFonts w:ascii="Times New Roman" w:eastAsia="Batang" w:hAnsi="Times New Roman"/>
          <w:lang w:eastAsia="ko-KR"/>
        </w:rPr>
        <w:t xml:space="preserve">Concluyendo, la Comisión </w:t>
      </w:r>
      <w:r w:rsidRPr="00F96148">
        <w:rPr>
          <w:rFonts w:ascii="Times New Roman" w:eastAsia="Batang" w:hAnsi="Times New Roman"/>
          <w:iCs/>
          <w:lang w:eastAsia="ko-KR"/>
        </w:rPr>
        <w:t xml:space="preserve">de Nombramientos y Retribuciones considera que </w:t>
      </w:r>
      <w:r w:rsidR="00C35E3F" w:rsidRPr="00F96148">
        <w:rPr>
          <w:rFonts w:ascii="Times New Roman" w:hAnsi="Times New Roman"/>
        </w:rPr>
        <w:t xml:space="preserve">D. </w:t>
      </w:r>
      <w:r w:rsidR="00C35E3F">
        <w:rPr>
          <w:rFonts w:ascii="Times New Roman" w:hAnsi="Times New Roman"/>
        </w:rPr>
        <w:t>Alejandro Gortazar Fita</w:t>
      </w:r>
      <w:r w:rsidR="00F16144" w:rsidRPr="00F96148">
        <w:rPr>
          <w:rFonts w:ascii="Times New Roman" w:eastAsia="Batang" w:hAnsi="Times New Roman"/>
          <w:iCs/>
          <w:lang w:eastAsia="ko-KR"/>
        </w:rPr>
        <w:t xml:space="preserve"> </w:t>
      </w:r>
      <w:r w:rsidRPr="00F96148">
        <w:rPr>
          <w:rFonts w:ascii="Times New Roman" w:eastAsia="Batang" w:hAnsi="Times New Roman"/>
          <w:iCs/>
          <w:lang w:eastAsia="ko-KR"/>
        </w:rPr>
        <w:t xml:space="preserve">cuenta con la competencia, experiencia y méritos necesarios para su </w:t>
      </w:r>
      <w:r w:rsidR="00B92DFD" w:rsidRPr="00F96148">
        <w:rPr>
          <w:rFonts w:ascii="Times New Roman" w:eastAsia="Batang" w:hAnsi="Times New Roman"/>
          <w:iCs/>
          <w:lang w:eastAsia="ko-KR"/>
        </w:rPr>
        <w:t>reelección</w:t>
      </w:r>
      <w:r w:rsidRPr="00F96148">
        <w:rPr>
          <w:rFonts w:ascii="Times New Roman" w:eastAsia="Batang" w:hAnsi="Times New Roman"/>
          <w:iCs/>
          <w:lang w:eastAsia="ko-KR"/>
        </w:rPr>
        <w:t xml:space="preserve"> como vocal del Conse</w:t>
      </w:r>
      <w:r w:rsidR="00F16144" w:rsidRPr="00F96148">
        <w:rPr>
          <w:rFonts w:ascii="Times New Roman" w:eastAsia="Batang" w:hAnsi="Times New Roman"/>
          <w:iCs/>
          <w:lang w:eastAsia="ko-KR"/>
        </w:rPr>
        <w:t>jo, en su condición de consejero</w:t>
      </w:r>
      <w:r w:rsidRPr="00F96148">
        <w:rPr>
          <w:rFonts w:ascii="Times New Roman" w:eastAsia="Batang" w:hAnsi="Times New Roman"/>
          <w:iCs/>
          <w:lang w:eastAsia="ko-KR"/>
        </w:rPr>
        <w:t xml:space="preserve"> independiente de la Sociedad, y por ello, propone su </w:t>
      </w:r>
      <w:r w:rsidR="008A108A" w:rsidRPr="00F96148">
        <w:rPr>
          <w:rFonts w:ascii="Times New Roman" w:eastAsia="Batang" w:hAnsi="Times New Roman"/>
          <w:iCs/>
          <w:lang w:eastAsia="ko-KR"/>
        </w:rPr>
        <w:t>reelección</w:t>
      </w:r>
      <w:r w:rsidRPr="00F96148">
        <w:rPr>
          <w:rFonts w:ascii="Times New Roman" w:eastAsia="Batang" w:hAnsi="Times New Roman"/>
          <w:iCs/>
          <w:lang w:eastAsia="ko-KR"/>
        </w:rPr>
        <w:t xml:space="preserve"> a la Junta General de Accionistas.</w:t>
      </w:r>
    </w:p>
    <w:p w14:paraId="26CFE6DF" w14:textId="77777777" w:rsidR="002119E8" w:rsidRPr="00F96148" w:rsidRDefault="002119E8" w:rsidP="00F96148">
      <w:pPr>
        <w:spacing w:line="312" w:lineRule="auto"/>
        <w:rPr>
          <w:rFonts w:ascii="Times New Roman" w:eastAsia="Batang" w:hAnsi="Times New Roman"/>
          <w:lang w:eastAsia="ko-KR"/>
        </w:rPr>
      </w:pPr>
    </w:p>
    <w:p w14:paraId="26CFE6E2" w14:textId="4968A0DA" w:rsidR="002119E8" w:rsidRDefault="002119E8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  <w:r w:rsidRPr="00F96148">
        <w:rPr>
          <w:rFonts w:ascii="Times New Roman" w:eastAsia="Batang" w:hAnsi="Times New Roman"/>
          <w:lang w:eastAsia="ko-KR"/>
        </w:rPr>
        <w:t xml:space="preserve">En Barcelona, a </w:t>
      </w:r>
      <w:r w:rsidR="00540BBD">
        <w:rPr>
          <w:rFonts w:ascii="Times New Roman" w:eastAsia="Batang" w:hAnsi="Times New Roman"/>
          <w:lang w:eastAsia="ko-KR"/>
        </w:rPr>
        <w:t>2</w:t>
      </w:r>
      <w:r w:rsidR="005A78B9">
        <w:rPr>
          <w:rFonts w:ascii="Times New Roman" w:eastAsia="Batang" w:hAnsi="Times New Roman"/>
          <w:lang w:eastAsia="ko-KR"/>
        </w:rPr>
        <w:t>9</w:t>
      </w:r>
      <w:r w:rsidR="00F16144" w:rsidRPr="00F96148">
        <w:rPr>
          <w:rFonts w:ascii="Times New Roman" w:eastAsia="Batang" w:hAnsi="Times New Roman"/>
          <w:lang w:eastAsia="ko-KR"/>
        </w:rPr>
        <w:t xml:space="preserve"> de </w:t>
      </w:r>
      <w:r w:rsidR="00540BBD">
        <w:rPr>
          <w:rFonts w:ascii="Times New Roman" w:eastAsia="Batang" w:hAnsi="Times New Roman"/>
          <w:lang w:eastAsia="ko-KR"/>
        </w:rPr>
        <w:t>mayo</w:t>
      </w:r>
      <w:r w:rsidR="00F16144" w:rsidRPr="00F96148">
        <w:rPr>
          <w:rFonts w:ascii="Times New Roman" w:eastAsia="Batang" w:hAnsi="Times New Roman"/>
          <w:lang w:eastAsia="ko-KR"/>
        </w:rPr>
        <w:t xml:space="preserve"> de 20</w:t>
      </w:r>
      <w:r w:rsidR="000B0752" w:rsidRPr="00F96148">
        <w:rPr>
          <w:rFonts w:ascii="Times New Roman" w:eastAsia="Batang" w:hAnsi="Times New Roman"/>
          <w:lang w:eastAsia="ko-KR"/>
        </w:rPr>
        <w:t>2</w:t>
      </w:r>
      <w:r w:rsidR="005A78B9">
        <w:rPr>
          <w:rFonts w:ascii="Times New Roman" w:eastAsia="Batang" w:hAnsi="Times New Roman"/>
          <w:lang w:eastAsia="ko-KR"/>
        </w:rPr>
        <w:t>3</w:t>
      </w:r>
      <w:r w:rsidRPr="00F96148">
        <w:rPr>
          <w:rFonts w:ascii="Times New Roman" w:eastAsia="Batang" w:hAnsi="Times New Roman"/>
          <w:lang w:eastAsia="ko-KR"/>
        </w:rPr>
        <w:t>.</w:t>
      </w:r>
    </w:p>
    <w:p w14:paraId="32B44391" w14:textId="77777777" w:rsidR="00792E95" w:rsidRPr="00F96148" w:rsidRDefault="00792E95" w:rsidP="00F96148">
      <w:pPr>
        <w:tabs>
          <w:tab w:val="left" w:pos="709"/>
          <w:tab w:val="left" w:pos="1134"/>
        </w:tabs>
        <w:spacing w:line="312" w:lineRule="auto"/>
        <w:rPr>
          <w:rFonts w:ascii="Times New Roman" w:eastAsia="Batang" w:hAnsi="Times New Roman"/>
          <w:lang w:eastAsia="ko-KR"/>
        </w:rPr>
      </w:pPr>
    </w:p>
    <w:p w14:paraId="26CFE6E4" w14:textId="4C7DB65C" w:rsidR="008E1724" w:rsidRPr="00EA2E96" w:rsidRDefault="002119E8" w:rsidP="00EA2E96">
      <w:pPr>
        <w:tabs>
          <w:tab w:val="left" w:pos="709"/>
          <w:tab w:val="left" w:pos="1134"/>
        </w:tabs>
        <w:spacing w:line="312" w:lineRule="auto"/>
        <w:jc w:val="center"/>
        <w:rPr>
          <w:rFonts w:ascii="Times New Roman" w:eastAsia="Batang" w:hAnsi="Times New Roman"/>
          <w:lang w:eastAsia="ko-KR"/>
        </w:rPr>
      </w:pPr>
      <w:r w:rsidRPr="00F96148">
        <w:rPr>
          <w:rFonts w:ascii="Times New Roman" w:eastAsia="Batang" w:hAnsi="Times New Roman"/>
          <w:lang w:eastAsia="ko-KR"/>
        </w:rPr>
        <w:t>*</w:t>
      </w:r>
      <w:r w:rsidRPr="00F96148">
        <w:rPr>
          <w:rFonts w:ascii="Times New Roman" w:eastAsia="Batang" w:hAnsi="Times New Roman"/>
          <w:lang w:eastAsia="ko-KR"/>
        </w:rPr>
        <w:tab/>
        <w:t>*</w:t>
      </w:r>
      <w:r w:rsidRPr="00F96148">
        <w:rPr>
          <w:rFonts w:ascii="Times New Roman" w:eastAsia="Batang" w:hAnsi="Times New Roman"/>
          <w:lang w:eastAsia="ko-KR"/>
        </w:rPr>
        <w:tab/>
      </w:r>
      <w:r w:rsidRPr="00F96148">
        <w:rPr>
          <w:rFonts w:ascii="Times New Roman" w:eastAsia="Batang" w:hAnsi="Times New Roman"/>
          <w:lang w:eastAsia="ko-KR"/>
        </w:rPr>
        <w:tab/>
        <w:t>*</w:t>
      </w:r>
    </w:p>
    <w:sectPr w:rsidR="008E1724" w:rsidRPr="00EA2E96" w:rsidSect="004C3EEE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193A" w14:textId="77777777" w:rsidR="002E7664" w:rsidRDefault="002E7664" w:rsidP="00305AE4">
      <w:pPr>
        <w:spacing w:line="240" w:lineRule="auto"/>
      </w:pPr>
      <w:r>
        <w:separator/>
      </w:r>
    </w:p>
  </w:endnote>
  <w:endnote w:type="continuationSeparator" w:id="0">
    <w:p w14:paraId="2E81CD07" w14:textId="77777777" w:rsidR="002E7664" w:rsidRDefault="002E7664" w:rsidP="0030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7DDE" w14:textId="77777777" w:rsidR="002E7664" w:rsidRDefault="002E7664" w:rsidP="00305AE4">
      <w:pPr>
        <w:spacing w:line="240" w:lineRule="auto"/>
      </w:pPr>
      <w:r>
        <w:separator/>
      </w:r>
    </w:p>
  </w:footnote>
  <w:footnote w:type="continuationSeparator" w:id="0">
    <w:p w14:paraId="32E5622C" w14:textId="77777777" w:rsidR="002E7664" w:rsidRDefault="002E7664" w:rsidP="00305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8BD" w14:textId="4CC966E3" w:rsidR="00305AE4" w:rsidRDefault="00305AE4" w:rsidP="00305AE4">
    <w:pPr>
      <w:pStyle w:val="Encabezado"/>
      <w:jc w:val="right"/>
    </w:pPr>
    <w:r>
      <w:rPr>
        <w:noProof/>
      </w:rPr>
      <w:drawing>
        <wp:inline distT="0" distB="0" distL="0" distR="0" wp14:anchorId="1713B4C8" wp14:editId="23FA1A23">
          <wp:extent cx="1901825" cy="67691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34588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A1421E"/>
    <w:multiLevelType w:val="hybridMultilevel"/>
    <w:tmpl w:val="76AAE140"/>
    <w:lvl w:ilvl="0" w:tplc="B17ED686"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761"/>
    <w:multiLevelType w:val="hybridMultilevel"/>
    <w:tmpl w:val="73E485BC"/>
    <w:lvl w:ilvl="0" w:tplc="10A8774E">
      <w:start w:val="198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7E48"/>
    <w:multiLevelType w:val="hybridMultilevel"/>
    <w:tmpl w:val="BABAF5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729A9"/>
    <w:multiLevelType w:val="multilevel"/>
    <w:tmpl w:val="1DC67FA2"/>
    <w:lvl w:ilvl="0">
      <w:start w:val="1"/>
      <w:numFmt w:val="decimal"/>
      <w:pStyle w:val="ListaClusulas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ListaClusulas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2">
      <w:start w:val="1"/>
      <w:numFmt w:val="lowerRoman"/>
      <w:pStyle w:val="ListaClusulas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ListaClusulas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1"/>
        </w:tabs>
        <w:ind w:left="2531" w:hanging="360"/>
      </w:pPr>
      <w:rPr>
        <w:rFonts w:hint="default"/>
      </w:rPr>
    </w:lvl>
  </w:abstractNum>
  <w:abstractNum w:abstractNumId="5" w15:restartNumberingAfterBreak="0">
    <w:nsid w:val="43043605"/>
    <w:multiLevelType w:val="hybridMultilevel"/>
    <w:tmpl w:val="7DF0D704"/>
    <w:lvl w:ilvl="0" w:tplc="AD366732"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111"/>
    <w:multiLevelType w:val="multilevel"/>
    <w:tmpl w:val="C2527504"/>
    <w:lvl w:ilvl="0">
      <w:start w:val="198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6531AA"/>
    <w:multiLevelType w:val="hybridMultilevel"/>
    <w:tmpl w:val="9D3C70E4"/>
    <w:lvl w:ilvl="0" w:tplc="5F22F494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C27B8"/>
    <w:multiLevelType w:val="hybridMultilevel"/>
    <w:tmpl w:val="C5C0DD74"/>
    <w:lvl w:ilvl="0" w:tplc="02724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B6857"/>
    <w:multiLevelType w:val="hybridMultilevel"/>
    <w:tmpl w:val="11006DF0"/>
    <w:lvl w:ilvl="0" w:tplc="54ACC29A"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570280">
    <w:abstractNumId w:val="0"/>
  </w:num>
  <w:num w:numId="2" w16cid:durableId="413361514">
    <w:abstractNumId w:val="4"/>
  </w:num>
  <w:num w:numId="3" w16cid:durableId="490413968">
    <w:abstractNumId w:val="4"/>
  </w:num>
  <w:num w:numId="4" w16cid:durableId="472525260">
    <w:abstractNumId w:val="4"/>
  </w:num>
  <w:num w:numId="5" w16cid:durableId="1627194865">
    <w:abstractNumId w:val="4"/>
  </w:num>
  <w:num w:numId="6" w16cid:durableId="1857497570">
    <w:abstractNumId w:val="4"/>
  </w:num>
  <w:num w:numId="7" w16cid:durableId="1747025907">
    <w:abstractNumId w:val="4"/>
  </w:num>
  <w:num w:numId="8" w16cid:durableId="1438646521">
    <w:abstractNumId w:val="4"/>
  </w:num>
  <w:num w:numId="9" w16cid:durableId="679041921">
    <w:abstractNumId w:val="4"/>
  </w:num>
  <w:num w:numId="10" w16cid:durableId="47732545">
    <w:abstractNumId w:val="4"/>
  </w:num>
  <w:num w:numId="11" w16cid:durableId="577519443">
    <w:abstractNumId w:val="4"/>
  </w:num>
  <w:num w:numId="12" w16cid:durableId="488525071">
    <w:abstractNumId w:val="4"/>
  </w:num>
  <w:num w:numId="13" w16cid:durableId="1945767593">
    <w:abstractNumId w:val="4"/>
  </w:num>
  <w:num w:numId="14" w16cid:durableId="1422220564">
    <w:abstractNumId w:val="3"/>
  </w:num>
  <w:num w:numId="15" w16cid:durableId="1551385648">
    <w:abstractNumId w:val="5"/>
  </w:num>
  <w:num w:numId="16" w16cid:durableId="1092239042">
    <w:abstractNumId w:val="8"/>
  </w:num>
  <w:num w:numId="17" w16cid:durableId="1330250824">
    <w:abstractNumId w:val="2"/>
  </w:num>
  <w:num w:numId="18" w16cid:durableId="667903508">
    <w:abstractNumId w:val="6"/>
  </w:num>
  <w:num w:numId="19" w16cid:durableId="464273154">
    <w:abstractNumId w:val="1"/>
  </w:num>
  <w:num w:numId="20" w16cid:durableId="2065369453">
    <w:abstractNumId w:val="9"/>
  </w:num>
  <w:num w:numId="21" w16cid:durableId="2026589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9E8"/>
    <w:rsid w:val="0006073A"/>
    <w:rsid w:val="00070E86"/>
    <w:rsid w:val="00071377"/>
    <w:rsid w:val="00083C8E"/>
    <w:rsid w:val="00086443"/>
    <w:rsid w:val="00093D29"/>
    <w:rsid w:val="00097B24"/>
    <w:rsid w:val="000B0752"/>
    <w:rsid w:val="001418C2"/>
    <w:rsid w:val="001F1644"/>
    <w:rsid w:val="0020448F"/>
    <w:rsid w:val="002119E8"/>
    <w:rsid w:val="00244C8E"/>
    <w:rsid w:val="002E7664"/>
    <w:rsid w:val="002E76EC"/>
    <w:rsid w:val="00305AE4"/>
    <w:rsid w:val="00394B00"/>
    <w:rsid w:val="00463D32"/>
    <w:rsid w:val="004C3EEE"/>
    <w:rsid w:val="004D2FA2"/>
    <w:rsid w:val="0051393C"/>
    <w:rsid w:val="00517373"/>
    <w:rsid w:val="005204C0"/>
    <w:rsid w:val="00536A61"/>
    <w:rsid w:val="00540BBD"/>
    <w:rsid w:val="00555D20"/>
    <w:rsid w:val="00571752"/>
    <w:rsid w:val="0059659E"/>
    <w:rsid w:val="005A78B9"/>
    <w:rsid w:val="005D0C79"/>
    <w:rsid w:val="0060007F"/>
    <w:rsid w:val="00610075"/>
    <w:rsid w:val="006C0D8D"/>
    <w:rsid w:val="006D7E6A"/>
    <w:rsid w:val="0070788B"/>
    <w:rsid w:val="00724789"/>
    <w:rsid w:val="00733CAF"/>
    <w:rsid w:val="00733EC0"/>
    <w:rsid w:val="007651BA"/>
    <w:rsid w:val="00792E95"/>
    <w:rsid w:val="00816A30"/>
    <w:rsid w:val="008A108A"/>
    <w:rsid w:val="008D6281"/>
    <w:rsid w:val="008E1724"/>
    <w:rsid w:val="008F4E04"/>
    <w:rsid w:val="00902A6B"/>
    <w:rsid w:val="00986169"/>
    <w:rsid w:val="009A2025"/>
    <w:rsid w:val="009C5F69"/>
    <w:rsid w:val="00A4109C"/>
    <w:rsid w:val="00AF4E65"/>
    <w:rsid w:val="00B46CA4"/>
    <w:rsid w:val="00B92DFD"/>
    <w:rsid w:val="00C35E3F"/>
    <w:rsid w:val="00C5735E"/>
    <w:rsid w:val="00CD02BB"/>
    <w:rsid w:val="00D25478"/>
    <w:rsid w:val="00D32B48"/>
    <w:rsid w:val="00D37A15"/>
    <w:rsid w:val="00DC5B7B"/>
    <w:rsid w:val="00E877E8"/>
    <w:rsid w:val="00EA2E96"/>
    <w:rsid w:val="00EA7E97"/>
    <w:rsid w:val="00F06B52"/>
    <w:rsid w:val="00F16144"/>
    <w:rsid w:val="00F165A3"/>
    <w:rsid w:val="00F7119B"/>
    <w:rsid w:val="00F91119"/>
    <w:rsid w:val="00F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6BF"/>
  <w15:docId w15:val="{1B6728E5-BF50-4A66-848B-0B3F1A9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sz w:val="22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E8"/>
  </w:style>
  <w:style w:type="paragraph" w:styleId="Ttulo1">
    <w:name w:val="heading 1"/>
    <w:basedOn w:val="Normal"/>
    <w:next w:val="Normal"/>
    <w:link w:val="Ttulo1Car"/>
    <w:uiPriority w:val="99"/>
    <w:qFormat/>
    <w:rsid w:val="00F165A3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165A3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165A3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F165A3"/>
    <w:pPr>
      <w:widowControl w:val="0"/>
      <w:autoSpaceDE w:val="0"/>
      <w:autoSpaceDN w:val="0"/>
      <w:adjustRightInd w:val="0"/>
      <w:spacing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Inm1">
    <w:name w:val="TabInm1"/>
    <w:basedOn w:val="Listaconnmeros"/>
    <w:link w:val="TabInm1CarCar"/>
    <w:qFormat/>
    <w:rsid w:val="00F165A3"/>
    <w:pPr>
      <w:numPr>
        <w:numId w:val="0"/>
      </w:numPr>
      <w:tabs>
        <w:tab w:val="left" w:pos="567"/>
        <w:tab w:val="num" w:pos="709"/>
      </w:tabs>
      <w:spacing w:before="300" w:after="300"/>
      <w:ind w:left="709" w:hanging="709"/>
      <w:contextualSpacing w:val="0"/>
    </w:pPr>
    <w:rPr>
      <w:b/>
      <w:u w:val="single"/>
    </w:rPr>
  </w:style>
  <w:style w:type="character" w:customStyle="1" w:styleId="TabInm1CarCar">
    <w:name w:val="TabInm1 Car Car"/>
    <w:link w:val="TabInm1"/>
    <w:locked/>
    <w:rsid w:val="00F165A3"/>
    <w:rPr>
      <w:b/>
      <w:sz w:val="24"/>
      <w:szCs w:val="24"/>
      <w:u w:val="single"/>
    </w:rPr>
  </w:style>
  <w:style w:type="paragraph" w:styleId="Listaconnmeros">
    <w:name w:val="List Number"/>
    <w:basedOn w:val="Normal"/>
    <w:uiPriority w:val="99"/>
    <w:semiHidden/>
    <w:unhideWhenUsed/>
    <w:rsid w:val="005204C0"/>
    <w:pPr>
      <w:numPr>
        <w:numId w:val="1"/>
      </w:numPr>
      <w:contextualSpacing/>
    </w:pPr>
  </w:style>
  <w:style w:type="paragraph" w:customStyle="1" w:styleId="TabInm2">
    <w:name w:val="TabInm2"/>
    <w:basedOn w:val="TabInm1"/>
    <w:link w:val="TabInm2Car"/>
    <w:qFormat/>
    <w:rsid w:val="00F165A3"/>
    <w:pPr>
      <w:numPr>
        <w:ilvl w:val="1"/>
      </w:numPr>
      <w:tabs>
        <w:tab w:val="num" w:pos="709"/>
      </w:tabs>
      <w:ind w:left="709" w:hanging="709"/>
    </w:pPr>
  </w:style>
  <w:style w:type="character" w:customStyle="1" w:styleId="TabInm2Car">
    <w:name w:val="TabInm2 Car"/>
    <w:link w:val="TabInm2"/>
    <w:locked/>
    <w:rsid w:val="00F165A3"/>
    <w:rPr>
      <w:b/>
      <w:sz w:val="24"/>
      <w:szCs w:val="24"/>
      <w:u w:val="single"/>
    </w:rPr>
  </w:style>
  <w:style w:type="paragraph" w:customStyle="1" w:styleId="TabInm3">
    <w:name w:val="TabInm3"/>
    <w:basedOn w:val="TabInm1"/>
    <w:link w:val="TabInm3Car"/>
    <w:uiPriority w:val="99"/>
    <w:qFormat/>
    <w:rsid w:val="00F165A3"/>
    <w:pPr>
      <w:numPr>
        <w:ilvl w:val="2"/>
      </w:numPr>
      <w:tabs>
        <w:tab w:val="clear" w:pos="567"/>
        <w:tab w:val="num" w:pos="709"/>
        <w:tab w:val="left" w:pos="1134"/>
        <w:tab w:val="num" w:pos="1418"/>
      </w:tabs>
      <w:ind w:left="1418" w:right="567" w:hanging="709"/>
    </w:pPr>
  </w:style>
  <w:style w:type="character" w:customStyle="1" w:styleId="TabInm3Car">
    <w:name w:val="TabInm3 Car"/>
    <w:link w:val="TabInm3"/>
    <w:uiPriority w:val="99"/>
    <w:locked/>
    <w:rsid w:val="00F165A3"/>
    <w:rPr>
      <w:b/>
      <w:sz w:val="24"/>
      <w:szCs w:val="24"/>
      <w:u w:val="single"/>
    </w:rPr>
  </w:style>
  <w:style w:type="paragraph" w:customStyle="1" w:styleId="TabInm4">
    <w:name w:val="TabInm4"/>
    <w:basedOn w:val="TabInm1"/>
    <w:link w:val="TabInm4Car"/>
    <w:qFormat/>
    <w:rsid w:val="00F165A3"/>
    <w:pPr>
      <w:numPr>
        <w:ilvl w:val="3"/>
      </w:numPr>
      <w:tabs>
        <w:tab w:val="clear" w:pos="567"/>
        <w:tab w:val="num" w:pos="709"/>
        <w:tab w:val="left" w:pos="1701"/>
        <w:tab w:val="num" w:pos="2126"/>
      </w:tabs>
      <w:ind w:left="2126" w:right="1134" w:hanging="709"/>
    </w:pPr>
  </w:style>
  <w:style w:type="character" w:customStyle="1" w:styleId="TabInm4Car">
    <w:name w:val="TabInm4 Car"/>
    <w:link w:val="TabInm4"/>
    <w:locked/>
    <w:rsid w:val="00F165A3"/>
    <w:rPr>
      <w:b/>
      <w:sz w:val="24"/>
      <w:szCs w:val="24"/>
      <w:u w:val="single"/>
    </w:rPr>
  </w:style>
  <w:style w:type="paragraph" w:customStyle="1" w:styleId="TabInm5">
    <w:name w:val="TabInm5"/>
    <w:basedOn w:val="TabInm1"/>
    <w:qFormat/>
    <w:rsid w:val="00F165A3"/>
    <w:pPr>
      <w:numPr>
        <w:ilvl w:val="4"/>
      </w:numPr>
      <w:tabs>
        <w:tab w:val="num" w:pos="709"/>
        <w:tab w:val="num" w:pos="2835"/>
      </w:tabs>
      <w:ind w:left="2835" w:hanging="709"/>
    </w:pPr>
    <w:rPr>
      <w:b w:val="0"/>
      <w:u w:val="none"/>
      <w:lang w:eastAsia="x-none"/>
    </w:rPr>
  </w:style>
  <w:style w:type="paragraph" w:customStyle="1" w:styleId="TabInm6">
    <w:name w:val="TabInm6"/>
    <w:basedOn w:val="TabInm1"/>
    <w:qFormat/>
    <w:rsid w:val="00F165A3"/>
    <w:pPr>
      <w:numPr>
        <w:ilvl w:val="5"/>
      </w:numPr>
      <w:tabs>
        <w:tab w:val="num" w:pos="709"/>
        <w:tab w:val="num" w:pos="3544"/>
      </w:tabs>
      <w:ind w:left="3544" w:hanging="709"/>
    </w:pPr>
    <w:rPr>
      <w:b w:val="0"/>
      <w:u w:val="none"/>
      <w:lang w:eastAsia="x-none"/>
    </w:rPr>
  </w:style>
  <w:style w:type="paragraph" w:customStyle="1" w:styleId="ListaClusulas">
    <w:name w:val="Lista Cláusulas"/>
    <w:basedOn w:val="Normal"/>
    <w:qFormat/>
    <w:rsid w:val="00F165A3"/>
    <w:pPr>
      <w:keepNext/>
      <w:keepLines/>
      <w:numPr>
        <w:numId w:val="13"/>
      </w:numPr>
      <w:spacing w:line="300" w:lineRule="exact"/>
      <w:outlineLvl w:val="0"/>
    </w:pPr>
    <w:rPr>
      <w:b/>
      <w:u w:val="single"/>
    </w:rPr>
  </w:style>
  <w:style w:type="paragraph" w:customStyle="1" w:styleId="ListaClusulas2">
    <w:name w:val="Lista Cláusulas 2"/>
    <w:basedOn w:val="Normal"/>
    <w:qFormat/>
    <w:rsid w:val="00F165A3"/>
    <w:pPr>
      <w:numPr>
        <w:ilvl w:val="1"/>
        <w:numId w:val="13"/>
      </w:numPr>
      <w:spacing w:line="300" w:lineRule="exact"/>
      <w:outlineLvl w:val="1"/>
    </w:pPr>
  </w:style>
  <w:style w:type="paragraph" w:customStyle="1" w:styleId="ListaClusulas3">
    <w:name w:val="Lista Cláusulas 3"/>
    <w:basedOn w:val="Normal"/>
    <w:qFormat/>
    <w:rsid w:val="00F165A3"/>
    <w:pPr>
      <w:numPr>
        <w:ilvl w:val="2"/>
        <w:numId w:val="13"/>
      </w:numPr>
      <w:spacing w:line="300" w:lineRule="exact"/>
      <w:outlineLvl w:val="2"/>
    </w:pPr>
  </w:style>
  <w:style w:type="paragraph" w:customStyle="1" w:styleId="ListaClusulas4">
    <w:name w:val="Lista Cláusulas 4"/>
    <w:basedOn w:val="Normal"/>
    <w:qFormat/>
    <w:rsid w:val="00F165A3"/>
    <w:pPr>
      <w:numPr>
        <w:ilvl w:val="3"/>
        <w:numId w:val="13"/>
      </w:numPr>
      <w:spacing w:line="300" w:lineRule="exact"/>
      <w:outlineLvl w:val="3"/>
    </w:pPr>
  </w:style>
  <w:style w:type="character" w:customStyle="1" w:styleId="Ttulo1Car">
    <w:name w:val="Título 1 Car"/>
    <w:link w:val="Ttulo1"/>
    <w:uiPriority w:val="99"/>
    <w:rsid w:val="00F165A3"/>
    <w:rPr>
      <w:rFonts w:ascii="Cambria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rsid w:val="00F165A3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rsid w:val="00F165A3"/>
    <w:rPr>
      <w:rFonts w:ascii="Cambria" w:hAnsi="Cambria"/>
      <w:b/>
      <w:bCs/>
      <w:sz w:val="26"/>
      <w:szCs w:val="26"/>
    </w:rPr>
  </w:style>
  <w:style w:type="character" w:customStyle="1" w:styleId="Ttulo5Car">
    <w:name w:val="Título 5 Car"/>
    <w:link w:val="Ttulo5"/>
    <w:uiPriority w:val="99"/>
    <w:rsid w:val="00F165A3"/>
    <w:rPr>
      <w:b/>
      <w:bCs/>
      <w:i/>
      <w:iCs/>
      <w:sz w:val="26"/>
      <w:szCs w:val="26"/>
      <w:lang w:val="en-US"/>
    </w:rPr>
  </w:style>
  <w:style w:type="paragraph" w:styleId="Subttulo">
    <w:name w:val="Subtitle"/>
    <w:basedOn w:val="Normal"/>
    <w:next w:val="Normal"/>
    <w:link w:val="SubttuloCar"/>
    <w:qFormat/>
    <w:rsid w:val="00F165A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F165A3"/>
    <w:rPr>
      <w:rFonts w:ascii="Cambria" w:hAnsi="Cambria"/>
      <w:sz w:val="24"/>
      <w:szCs w:val="24"/>
    </w:rPr>
  </w:style>
  <w:style w:type="paragraph" w:styleId="Prrafodelista">
    <w:name w:val="List Paragraph"/>
    <w:basedOn w:val="Normal"/>
    <w:uiPriority w:val="34"/>
    <w:qFormat/>
    <w:rsid w:val="00F165A3"/>
    <w:pPr>
      <w:ind w:left="708"/>
    </w:pPr>
  </w:style>
  <w:style w:type="paragraph" w:customStyle="1" w:styleId="Comentarios">
    <w:name w:val="Comentarios"/>
    <w:basedOn w:val="Textodeglobo"/>
    <w:next w:val="Textodeglobo"/>
    <w:link w:val="ComentariosCar"/>
    <w:autoRedefine/>
    <w:qFormat/>
    <w:rsid w:val="00724789"/>
    <w:pPr>
      <w:spacing w:line="300" w:lineRule="exact"/>
      <w:ind w:left="709" w:hanging="709"/>
    </w:pPr>
    <w:rPr>
      <w:sz w:val="24"/>
    </w:rPr>
  </w:style>
  <w:style w:type="character" w:customStyle="1" w:styleId="ComentariosCar">
    <w:name w:val="Comentarios Car"/>
    <w:basedOn w:val="TextodegloboCar"/>
    <w:link w:val="Comentarios"/>
    <w:rsid w:val="00724789"/>
    <w:rPr>
      <w:sz w:val="24"/>
      <w:lang w:eastAsia="x-none"/>
    </w:rPr>
  </w:style>
  <w:style w:type="paragraph" w:styleId="Textodeglobo">
    <w:name w:val="Balloon Text"/>
    <w:basedOn w:val="Normal"/>
    <w:link w:val="TextodegloboCar"/>
    <w:uiPriority w:val="99"/>
    <w:rsid w:val="00724789"/>
    <w:rPr>
      <w:sz w:val="20"/>
      <w:szCs w:val="20"/>
      <w:lang w:eastAsia="x-none"/>
    </w:rPr>
  </w:style>
  <w:style w:type="character" w:customStyle="1" w:styleId="TextodegloboCar">
    <w:name w:val="Texto de globo Car"/>
    <w:link w:val="Textodeglobo"/>
    <w:uiPriority w:val="99"/>
    <w:rsid w:val="00724789"/>
    <w:rPr>
      <w:lang w:eastAsia="x-non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37A15"/>
    <w:pPr>
      <w:spacing w:after="100" w:line="259" w:lineRule="auto"/>
      <w:jc w:val="left"/>
    </w:pPr>
    <w:rPr>
      <w:rFonts w:ascii="Times New Roman" w:eastAsiaTheme="minorHAnsi" w:hAnsi="Times New Roman" w:cstheme="minorBidi"/>
      <w:szCs w:val="22"/>
    </w:rPr>
  </w:style>
  <w:style w:type="table" w:styleId="Tablaconcuadrcula">
    <w:name w:val="Table Grid"/>
    <w:basedOn w:val="Tablanormal"/>
    <w:uiPriority w:val="59"/>
    <w:rsid w:val="00986169"/>
    <w:pPr>
      <w:spacing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5A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AE4"/>
  </w:style>
  <w:style w:type="paragraph" w:styleId="Piedepgina">
    <w:name w:val="footer"/>
    <w:basedOn w:val="Normal"/>
    <w:link w:val="PiedepginaCar"/>
    <w:uiPriority w:val="99"/>
    <w:unhideWhenUsed/>
    <w:rsid w:val="00305AE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calbanell</dc:creator>
  <cp:lastModifiedBy>CMS-ASL</cp:lastModifiedBy>
  <cp:revision>42</cp:revision>
  <dcterms:created xsi:type="dcterms:W3CDTF">2018-02-28T15:33:00Z</dcterms:created>
  <dcterms:modified xsi:type="dcterms:W3CDTF">2023-05-30T09:27:00Z</dcterms:modified>
</cp:coreProperties>
</file>